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项目名称：2024年补充医疗保险项目采购</w:t>
      </w:r>
    </w:p>
    <w:p>
      <w:pPr>
        <w:autoSpaceDE w:val="0"/>
        <w:autoSpaceDN w:val="0"/>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项目编号：SFG2400790127A</w:t>
      </w:r>
    </w:p>
    <w:p>
      <w:pPr>
        <w:widowControl/>
        <w:spacing w:line="360" w:lineRule="auto"/>
        <w:ind w:firstLine="675" w:firstLineChars="224"/>
        <w:jc w:val="center"/>
        <w:rPr>
          <w:rFonts w:ascii="宋体"/>
          <w:b/>
          <w:bCs/>
          <w:sz w:val="30"/>
          <w:szCs w:val="30"/>
        </w:rPr>
      </w:pPr>
    </w:p>
    <w:p>
      <w:pPr>
        <w:widowControl/>
        <w:spacing w:line="360" w:lineRule="auto"/>
        <w:ind w:firstLine="675" w:firstLineChars="224"/>
        <w:jc w:val="center"/>
        <w:rPr>
          <w:rFonts w:ascii="宋体"/>
          <w:b/>
          <w:bCs/>
          <w:sz w:val="30"/>
          <w:szCs w:val="30"/>
        </w:rPr>
      </w:pPr>
    </w:p>
    <w:p>
      <w:pPr>
        <w:widowControl/>
        <w:spacing w:line="360" w:lineRule="auto"/>
        <w:ind w:firstLine="675" w:firstLineChars="224"/>
        <w:jc w:val="center"/>
        <w:rPr>
          <w:rFonts w:ascii="宋体"/>
          <w:b/>
          <w:bCs/>
          <w:sz w:val="30"/>
          <w:szCs w:val="30"/>
        </w:rPr>
      </w:pPr>
    </w:p>
    <w:p>
      <w:pPr>
        <w:widowControl/>
        <w:spacing w:line="360" w:lineRule="auto"/>
        <w:ind w:firstLine="675" w:firstLineChars="224"/>
        <w:jc w:val="center"/>
        <w:rPr>
          <w:rFonts w:ascii="宋体"/>
          <w:b/>
          <w:bCs/>
          <w:sz w:val="30"/>
          <w:szCs w:val="30"/>
        </w:rPr>
      </w:pPr>
    </w:p>
    <w:p>
      <w:pPr>
        <w:widowControl/>
        <w:spacing w:line="360" w:lineRule="auto"/>
        <w:ind w:firstLine="675" w:firstLineChars="224"/>
        <w:jc w:val="center"/>
        <w:rPr>
          <w:rFonts w:ascii="宋体"/>
          <w:b/>
          <w:bCs/>
          <w:sz w:val="30"/>
          <w:szCs w:val="30"/>
        </w:rPr>
      </w:pPr>
    </w:p>
    <w:p>
      <w:pPr>
        <w:widowControl/>
        <w:spacing w:line="360" w:lineRule="auto"/>
        <w:jc w:val="center"/>
        <w:rPr>
          <w:rFonts w:ascii="宋体"/>
          <w:kern w:val="0"/>
          <w:sz w:val="44"/>
          <w:szCs w:val="44"/>
        </w:rPr>
      </w:pPr>
      <w:r>
        <w:rPr>
          <w:rFonts w:hint="eastAsia" w:ascii="宋体" w:hAnsi="宋体" w:cs="宋体"/>
          <w:b/>
          <w:bCs/>
          <w:sz w:val="44"/>
          <w:szCs w:val="44"/>
        </w:rPr>
        <w:t>竞争性比选文件</w:t>
      </w:r>
    </w:p>
    <w:p>
      <w:pPr>
        <w:spacing w:line="360" w:lineRule="auto"/>
        <w:ind w:firstLine="672" w:firstLineChars="224"/>
        <w:rPr>
          <w:rFonts w:ascii="宋体"/>
          <w:sz w:val="30"/>
          <w:szCs w:val="30"/>
        </w:rPr>
      </w:pPr>
    </w:p>
    <w:p>
      <w:pPr>
        <w:spacing w:line="360" w:lineRule="auto"/>
        <w:ind w:firstLine="672" w:firstLineChars="224"/>
        <w:jc w:val="center"/>
        <w:rPr>
          <w:rFonts w:ascii="宋体"/>
          <w:sz w:val="30"/>
          <w:szCs w:val="30"/>
        </w:rPr>
      </w:pPr>
      <w:r>
        <w:rPr>
          <w:rFonts w:hint="eastAsia" w:ascii="宋体"/>
          <w:sz w:val="30"/>
          <w:szCs w:val="30"/>
        </w:rPr>
        <w:drawing>
          <wp:inline distT="0" distB="0" distL="114300" distR="114300">
            <wp:extent cx="1604645" cy="972820"/>
            <wp:effectExtent l="0" t="0" r="14605" b="17780"/>
            <wp:docPr id="5" name="图片 5" descr="重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重咨LOGO"/>
                    <pic:cNvPicPr>
                      <a:picLocks noChangeAspect="1"/>
                    </pic:cNvPicPr>
                  </pic:nvPicPr>
                  <pic:blipFill>
                    <a:blip r:embed="rId10"/>
                    <a:stretch>
                      <a:fillRect/>
                    </a:stretch>
                  </pic:blipFill>
                  <pic:spPr>
                    <a:xfrm>
                      <a:off x="0" y="0"/>
                      <a:ext cx="1604645" cy="972820"/>
                    </a:xfrm>
                    <a:prstGeom prst="rect">
                      <a:avLst/>
                    </a:prstGeom>
                  </pic:spPr>
                </pic:pic>
              </a:graphicData>
            </a:graphic>
          </wp:inline>
        </w:drawing>
      </w:r>
    </w:p>
    <w:p>
      <w:pPr>
        <w:spacing w:line="360" w:lineRule="auto"/>
        <w:ind w:firstLine="672" w:firstLineChars="224"/>
        <w:rPr>
          <w:rFonts w:ascii="宋体"/>
          <w:sz w:val="30"/>
          <w:szCs w:val="30"/>
        </w:rPr>
      </w:pPr>
    </w:p>
    <w:p>
      <w:pPr>
        <w:spacing w:line="360" w:lineRule="auto"/>
        <w:rPr>
          <w:rFonts w:ascii="宋体"/>
          <w:sz w:val="30"/>
          <w:szCs w:val="30"/>
        </w:rPr>
      </w:pPr>
    </w:p>
    <w:p>
      <w:pPr>
        <w:spacing w:line="360" w:lineRule="auto"/>
        <w:rPr>
          <w:rFonts w:ascii="宋体"/>
          <w:sz w:val="30"/>
          <w:szCs w:val="30"/>
        </w:rPr>
      </w:pPr>
    </w:p>
    <w:p>
      <w:pPr>
        <w:spacing w:line="360" w:lineRule="auto"/>
        <w:ind w:left="-359" w:leftChars="-171"/>
        <w:rPr>
          <w:rFonts w:ascii="宋体"/>
          <w:b/>
          <w:bCs/>
          <w:sz w:val="30"/>
          <w:szCs w:val="30"/>
        </w:rPr>
      </w:pPr>
    </w:p>
    <w:p>
      <w:pPr>
        <w:spacing w:line="360" w:lineRule="auto"/>
        <w:ind w:left="-359" w:leftChars="-171"/>
        <w:rPr>
          <w:rFonts w:ascii="宋体"/>
          <w:b/>
          <w:bCs/>
          <w:sz w:val="30"/>
          <w:szCs w:val="30"/>
        </w:rPr>
      </w:pPr>
    </w:p>
    <w:p>
      <w:pPr>
        <w:spacing w:line="360" w:lineRule="auto"/>
        <w:ind w:left="-359" w:leftChars="-171" w:firstLine="1678" w:firstLineChars="597"/>
        <w:rPr>
          <w:rFonts w:ascii="宋体" w:hAnsi="宋体" w:cs="宋体"/>
          <w:b/>
          <w:bCs/>
          <w:sz w:val="28"/>
          <w:szCs w:val="28"/>
          <w:u w:val="single"/>
        </w:rPr>
      </w:pPr>
      <w:r>
        <w:rPr>
          <w:rFonts w:hint="eastAsia" w:ascii="宋体" w:hAnsi="宋体" w:cs="宋体"/>
          <w:b/>
          <w:bCs/>
          <w:sz w:val="28"/>
          <w:szCs w:val="28"/>
        </w:rPr>
        <w:t>项 目 业 主：</w:t>
      </w:r>
      <w:r>
        <w:rPr>
          <w:rFonts w:hint="eastAsia" w:ascii="宋体" w:hAnsi="宋体" w:cs="宋体"/>
          <w:b/>
          <w:bCs/>
          <w:sz w:val="28"/>
          <w:szCs w:val="28"/>
          <w:u w:val="single"/>
        </w:rPr>
        <w:t>重庆国际投资咨询集团有限公司</w:t>
      </w:r>
    </w:p>
    <w:p>
      <w:pPr>
        <w:spacing w:line="360" w:lineRule="auto"/>
        <w:ind w:left="-359" w:leftChars="-171" w:firstLine="1678" w:firstLineChars="597"/>
        <w:rPr>
          <w:rFonts w:ascii="宋体"/>
          <w:b/>
          <w:bCs/>
          <w:sz w:val="28"/>
          <w:szCs w:val="28"/>
          <w:u w:val="single"/>
        </w:rPr>
      </w:pPr>
      <w:r>
        <w:rPr>
          <w:rFonts w:hint="eastAsia" w:ascii="宋体" w:hAnsi="宋体" w:cs="宋体"/>
          <w:b/>
          <w:bCs/>
          <w:sz w:val="28"/>
          <w:szCs w:val="28"/>
        </w:rPr>
        <w:t>代 理 机 构：</w:t>
      </w:r>
      <w:r>
        <w:rPr>
          <w:rFonts w:hint="eastAsia" w:ascii="宋体" w:hAnsi="宋体" w:cs="宋体"/>
          <w:b/>
          <w:bCs/>
          <w:sz w:val="28"/>
          <w:szCs w:val="28"/>
          <w:u w:val="single"/>
        </w:rPr>
        <w:t>重庆招标采购（集团）有限责任公司</w:t>
      </w:r>
    </w:p>
    <w:p>
      <w:pPr>
        <w:spacing w:line="360" w:lineRule="auto"/>
        <w:ind w:firstLine="716" w:firstLineChars="224"/>
        <w:jc w:val="center"/>
        <w:rPr>
          <w:rFonts w:ascii="宋体"/>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二</w:t>
      </w:r>
      <w:r>
        <w:rPr>
          <w:rFonts w:ascii="宋体" w:cs="宋体"/>
          <w:b/>
          <w:bCs/>
          <w:sz w:val="32"/>
          <w:szCs w:val="32"/>
        </w:rPr>
        <w:t>0</w:t>
      </w:r>
      <w:r>
        <w:rPr>
          <w:rFonts w:hint="eastAsia" w:ascii="宋体" w:hAnsi="宋体" w:cs="宋体"/>
          <w:b/>
          <w:bCs/>
          <w:sz w:val="32"/>
          <w:szCs w:val="32"/>
        </w:rPr>
        <w:t>二四年二月</w:t>
      </w:r>
      <w:r>
        <w:rPr>
          <w:rFonts w:ascii="宋体" w:hAnsi="宋体" w:cs="宋体"/>
          <w:b/>
          <w:bCs/>
          <w:sz w:val="32"/>
          <w:szCs w:val="32"/>
        </w:rPr>
        <w:br w:type="page"/>
      </w:r>
    </w:p>
    <w:p>
      <w:pPr>
        <w:spacing w:line="360" w:lineRule="auto"/>
        <w:outlineLvl w:val="0"/>
        <w:rPr>
          <w:rFonts w:ascii="宋体"/>
          <w:b/>
          <w:bCs/>
          <w:sz w:val="28"/>
          <w:szCs w:val="28"/>
        </w:rPr>
      </w:pPr>
    </w:p>
    <w:p>
      <w:pPr>
        <w:spacing w:line="360" w:lineRule="auto"/>
        <w:jc w:val="center"/>
      </w:pPr>
      <w:r>
        <w:rPr>
          <w:rFonts w:hint="eastAsia" w:ascii="宋体" w:hAnsi="宋体" w:cs="宋体"/>
          <w:b/>
          <w:bCs/>
        </w:rPr>
        <w:t>目      录</w:t>
      </w:r>
      <w:r>
        <w:fldChar w:fldCharType="begin"/>
      </w:r>
      <w:r>
        <w:instrText xml:space="preserve">TOC \o "1-2" \h \u </w:instrText>
      </w:r>
      <w:r>
        <w:fldChar w:fldCharType="separate"/>
      </w:r>
    </w:p>
    <w:p>
      <w:pPr>
        <w:pStyle w:val="37"/>
        <w:tabs>
          <w:tab w:val="right" w:leader="dot" w:pos="9600"/>
        </w:tabs>
        <w:spacing w:line="360" w:lineRule="auto"/>
        <w:rPr>
          <w:rFonts w:asciiTheme="minorHAnsi" w:hAnsiTheme="minorHAnsi" w:eastAsiaTheme="minorEastAsia" w:cstheme="minorBidi"/>
          <w:b/>
          <w:bCs/>
          <w:sz w:val="24"/>
          <w:szCs w:val="28"/>
        </w:rPr>
      </w:pPr>
      <w:r>
        <w:fldChar w:fldCharType="begin"/>
      </w:r>
      <w:r>
        <w:instrText xml:space="preserve"> HYPERLINK \l "_Toc120633463" </w:instrText>
      </w:r>
      <w:r>
        <w:fldChar w:fldCharType="separate"/>
      </w:r>
      <w:r>
        <w:rPr>
          <w:rStyle w:val="31"/>
          <w:rFonts w:ascii="宋体" w:hAnsi="宋体" w:cs="宋体"/>
          <w:b/>
          <w:bCs/>
          <w:color w:val="auto"/>
          <w:sz w:val="24"/>
          <w:szCs w:val="24"/>
        </w:rPr>
        <w:t>第一部分  比选公告</w:t>
      </w:r>
      <w:r>
        <w:rPr>
          <w:b/>
          <w:bCs/>
          <w:sz w:val="24"/>
          <w:szCs w:val="24"/>
        </w:rPr>
        <w:tab/>
      </w:r>
      <w:r>
        <w:rPr>
          <w:b/>
          <w:bCs/>
          <w:sz w:val="24"/>
          <w:szCs w:val="24"/>
        </w:rPr>
        <w:fldChar w:fldCharType="begin"/>
      </w:r>
      <w:r>
        <w:rPr>
          <w:b/>
          <w:bCs/>
          <w:sz w:val="24"/>
          <w:szCs w:val="24"/>
        </w:rPr>
        <w:instrText xml:space="preserve"> PAGEREF _Toc120633463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37"/>
        <w:tabs>
          <w:tab w:val="right" w:leader="dot" w:pos="9600"/>
        </w:tabs>
        <w:spacing w:line="360" w:lineRule="auto"/>
        <w:rPr>
          <w:rFonts w:asciiTheme="minorHAnsi" w:hAnsiTheme="minorHAnsi" w:eastAsiaTheme="minorEastAsia" w:cstheme="minorBidi"/>
          <w:b/>
          <w:bCs/>
          <w:sz w:val="24"/>
          <w:szCs w:val="28"/>
        </w:rPr>
      </w:pPr>
      <w:r>
        <w:fldChar w:fldCharType="begin"/>
      </w:r>
      <w:r>
        <w:instrText xml:space="preserve"> HYPERLINK \l "_Toc120633465" </w:instrText>
      </w:r>
      <w:r>
        <w:fldChar w:fldCharType="separate"/>
      </w:r>
      <w:r>
        <w:rPr>
          <w:rStyle w:val="31"/>
          <w:rFonts w:ascii="宋体" w:hAnsi="宋体" w:cs="宋体"/>
          <w:b/>
          <w:bCs/>
          <w:color w:val="auto"/>
          <w:sz w:val="24"/>
          <w:szCs w:val="24"/>
        </w:rPr>
        <w:t>第二部分  比选须知</w:t>
      </w:r>
      <w:r>
        <w:rPr>
          <w:b/>
          <w:bCs/>
          <w:sz w:val="24"/>
          <w:szCs w:val="24"/>
        </w:rPr>
        <w:tab/>
      </w:r>
      <w:r>
        <w:rPr>
          <w:b/>
          <w:bCs/>
          <w:sz w:val="24"/>
          <w:szCs w:val="24"/>
        </w:rPr>
        <w:fldChar w:fldCharType="begin"/>
      </w:r>
      <w:r>
        <w:rPr>
          <w:b/>
          <w:bCs/>
          <w:sz w:val="24"/>
          <w:szCs w:val="24"/>
        </w:rPr>
        <w:instrText xml:space="preserve"> PAGEREF _Toc120633465 \h </w:instrText>
      </w:r>
      <w:r>
        <w:rPr>
          <w:b/>
          <w:bCs/>
          <w:sz w:val="24"/>
          <w:szCs w:val="24"/>
        </w:rPr>
        <w:fldChar w:fldCharType="separate"/>
      </w:r>
      <w:r>
        <w:rPr>
          <w:b/>
          <w:bCs/>
          <w:sz w:val="24"/>
          <w:szCs w:val="24"/>
        </w:rPr>
        <w:t>4</w:t>
      </w:r>
      <w:r>
        <w:rPr>
          <w:b/>
          <w:bCs/>
          <w:sz w:val="24"/>
          <w:szCs w:val="24"/>
        </w:rPr>
        <w:fldChar w:fldCharType="end"/>
      </w:r>
      <w:r>
        <w:rPr>
          <w:b/>
          <w:bCs/>
          <w:sz w:val="24"/>
          <w:szCs w:val="24"/>
        </w:rPr>
        <w:fldChar w:fldCharType="end"/>
      </w:r>
    </w:p>
    <w:p>
      <w:pPr>
        <w:pStyle w:val="37"/>
        <w:tabs>
          <w:tab w:val="right" w:leader="dot" w:pos="9600"/>
        </w:tabs>
        <w:spacing w:line="360" w:lineRule="auto"/>
        <w:rPr>
          <w:rFonts w:asciiTheme="minorHAnsi" w:hAnsiTheme="minorHAnsi" w:eastAsiaTheme="minorEastAsia" w:cstheme="minorBidi"/>
          <w:b/>
          <w:bCs/>
          <w:sz w:val="24"/>
          <w:szCs w:val="28"/>
        </w:rPr>
      </w:pPr>
      <w:r>
        <w:fldChar w:fldCharType="begin"/>
      </w:r>
      <w:r>
        <w:instrText xml:space="preserve"> HYPERLINK \l "_Toc120633479" </w:instrText>
      </w:r>
      <w:r>
        <w:fldChar w:fldCharType="separate"/>
      </w:r>
      <w:r>
        <w:rPr>
          <w:rStyle w:val="31"/>
          <w:rFonts w:ascii="宋体" w:hAnsi="宋体" w:cs="宋体"/>
          <w:b/>
          <w:bCs/>
          <w:color w:val="auto"/>
          <w:sz w:val="24"/>
          <w:szCs w:val="24"/>
        </w:rPr>
        <w:t>第三部分  比选申请文件格式</w:t>
      </w:r>
      <w:r>
        <w:rPr>
          <w:b/>
          <w:bCs/>
          <w:sz w:val="24"/>
          <w:szCs w:val="24"/>
        </w:rPr>
        <w:tab/>
      </w:r>
      <w:r>
        <w:rPr>
          <w:b/>
          <w:bCs/>
          <w:sz w:val="24"/>
          <w:szCs w:val="24"/>
        </w:rPr>
        <w:fldChar w:fldCharType="begin"/>
      </w:r>
      <w:r>
        <w:rPr>
          <w:b/>
          <w:bCs/>
          <w:sz w:val="24"/>
          <w:szCs w:val="24"/>
        </w:rPr>
        <w:instrText xml:space="preserve"> PAGEREF _Toc120633479 \h </w:instrText>
      </w:r>
      <w:r>
        <w:rPr>
          <w:b/>
          <w:bCs/>
          <w:sz w:val="24"/>
          <w:szCs w:val="24"/>
        </w:rPr>
        <w:fldChar w:fldCharType="separate"/>
      </w:r>
      <w:r>
        <w:rPr>
          <w:b/>
          <w:bCs/>
          <w:sz w:val="24"/>
          <w:szCs w:val="24"/>
        </w:rPr>
        <w:t>12</w:t>
      </w:r>
      <w:r>
        <w:rPr>
          <w:b/>
          <w:bCs/>
          <w:sz w:val="24"/>
          <w:szCs w:val="24"/>
        </w:rPr>
        <w:fldChar w:fldCharType="end"/>
      </w:r>
      <w:r>
        <w:rPr>
          <w:b/>
          <w:bCs/>
          <w:sz w:val="24"/>
          <w:szCs w:val="24"/>
        </w:rPr>
        <w:fldChar w:fldCharType="end"/>
      </w:r>
    </w:p>
    <w:p>
      <w:pPr>
        <w:pStyle w:val="37"/>
        <w:tabs>
          <w:tab w:val="right" w:leader="dot" w:pos="9600"/>
        </w:tabs>
        <w:spacing w:line="360" w:lineRule="auto"/>
        <w:rPr>
          <w:rFonts w:asciiTheme="minorHAnsi" w:hAnsiTheme="minorHAnsi" w:eastAsiaTheme="minorEastAsia" w:cstheme="minorBidi"/>
          <w:b/>
          <w:bCs/>
          <w:sz w:val="24"/>
          <w:szCs w:val="28"/>
        </w:rPr>
      </w:pPr>
      <w:r>
        <w:fldChar w:fldCharType="begin"/>
      </w:r>
      <w:r>
        <w:instrText xml:space="preserve"> HYPERLINK \l "_Toc120633490" </w:instrText>
      </w:r>
      <w:r>
        <w:fldChar w:fldCharType="separate"/>
      </w:r>
      <w:r>
        <w:rPr>
          <w:rStyle w:val="31"/>
          <w:rFonts w:ascii="宋体" w:hAnsi="宋体" w:cs="宋体"/>
          <w:b/>
          <w:bCs/>
          <w:color w:val="auto"/>
          <w:sz w:val="24"/>
          <w:szCs w:val="24"/>
        </w:rPr>
        <w:t xml:space="preserve">第四部分 </w:t>
      </w:r>
      <w:r>
        <w:rPr>
          <w:rStyle w:val="31"/>
          <w:rFonts w:hint="eastAsia" w:ascii="宋体" w:hAnsi="宋体" w:cs="宋体"/>
          <w:b/>
          <w:bCs/>
          <w:color w:val="auto"/>
          <w:sz w:val="24"/>
          <w:szCs w:val="24"/>
        </w:rPr>
        <w:t xml:space="preserve"> </w:t>
      </w:r>
      <w:r>
        <w:rPr>
          <w:rStyle w:val="31"/>
          <w:rFonts w:ascii="宋体" w:hAnsi="宋体" w:cs="宋体"/>
          <w:b/>
          <w:bCs/>
          <w:color w:val="auto"/>
          <w:sz w:val="24"/>
          <w:szCs w:val="24"/>
        </w:rPr>
        <w:t>合同条款</w:t>
      </w:r>
      <w:r>
        <w:rPr>
          <w:b/>
          <w:bCs/>
          <w:sz w:val="24"/>
          <w:szCs w:val="24"/>
        </w:rPr>
        <w:tab/>
      </w:r>
      <w:r>
        <w:rPr>
          <w:b/>
          <w:bCs/>
          <w:sz w:val="24"/>
          <w:szCs w:val="24"/>
        </w:rPr>
        <w:fldChar w:fldCharType="begin"/>
      </w:r>
      <w:r>
        <w:rPr>
          <w:b/>
          <w:bCs/>
          <w:sz w:val="24"/>
          <w:szCs w:val="24"/>
        </w:rPr>
        <w:instrText xml:space="preserve"> PAGEREF _Toc120633490 \h </w:instrText>
      </w:r>
      <w:r>
        <w:rPr>
          <w:b/>
          <w:bCs/>
          <w:sz w:val="24"/>
          <w:szCs w:val="24"/>
        </w:rPr>
        <w:fldChar w:fldCharType="separate"/>
      </w:r>
      <w:r>
        <w:rPr>
          <w:b/>
          <w:bCs/>
          <w:sz w:val="24"/>
          <w:szCs w:val="24"/>
        </w:rPr>
        <w:t>38</w:t>
      </w:r>
      <w:r>
        <w:rPr>
          <w:b/>
          <w:bCs/>
          <w:sz w:val="24"/>
          <w:szCs w:val="24"/>
        </w:rPr>
        <w:fldChar w:fldCharType="end"/>
      </w:r>
      <w:r>
        <w:rPr>
          <w:b/>
          <w:bCs/>
          <w:sz w:val="24"/>
          <w:szCs w:val="24"/>
        </w:rPr>
        <w:fldChar w:fldCharType="end"/>
      </w:r>
    </w:p>
    <w:p>
      <w:pPr>
        <w:pStyle w:val="49"/>
        <w:tabs>
          <w:tab w:val="right" w:leader="dot" w:pos="9610"/>
        </w:tabs>
        <w:spacing w:line="360" w:lineRule="auto"/>
      </w:pPr>
      <w:r>
        <w:fldChar w:fldCharType="end"/>
      </w: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pPr>
    </w:p>
    <w:p>
      <w:pPr>
        <w:spacing w:line="360" w:lineRule="auto"/>
        <w:jc w:val="center"/>
        <w:outlineLvl w:val="0"/>
        <w:rPr>
          <w:rFonts w:ascii="宋体"/>
          <w:b/>
          <w:bCs/>
          <w:sz w:val="28"/>
          <w:szCs w:val="28"/>
        </w:rPr>
        <w:sectPr>
          <w:footerReference r:id="rId4" w:type="first"/>
          <w:footerReference r:id="rId3" w:type="default"/>
          <w:pgSz w:w="11906" w:h="16838"/>
          <w:pgMar w:top="1276" w:right="1162" w:bottom="1135" w:left="1134" w:header="851" w:footer="992" w:gutter="0"/>
          <w:pgNumType w:fmt="decimal" w:start="1"/>
          <w:cols w:space="720" w:num="1"/>
          <w:docGrid w:type="lines" w:linePitch="312" w:charSpace="0"/>
        </w:sectPr>
      </w:pPr>
    </w:p>
    <w:p>
      <w:pPr>
        <w:spacing w:line="360" w:lineRule="auto"/>
        <w:outlineLvl w:val="0"/>
        <w:rPr>
          <w:rFonts w:ascii="宋体"/>
          <w:b/>
          <w:bCs/>
          <w:sz w:val="28"/>
          <w:szCs w:val="28"/>
        </w:rPr>
      </w:pPr>
    </w:p>
    <w:p>
      <w:pPr>
        <w:numPr>
          <w:ilvl w:val="0"/>
          <w:numId w:val="1"/>
        </w:numPr>
        <w:spacing w:line="360" w:lineRule="auto"/>
        <w:jc w:val="center"/>
        <w:outlineLvl w:val="0"/>
        <w:rPr>
          <w:rFonts w:hint="eastAsia" w:ascii="宋体" w:hAnsi="宋体" w:cs="宋体"/>
          <w:b/>
          <w:bCs/>
          <w:sz w:val="28"/>
          <w:szCs w:val="28"/>
        </w:rPr>
      </w:pPr>
      <w:bookmarkStart w:id="0" w:name="_Toc120633463"/>
      <w:r>
        <w:rPr>
          <w:rFonts w:hint="eastAsia" w:ascii="宋体" w:hAnsi="宋体" w:cs="宋体"/>
          <w:b/>
          <w:bCs/>
          <w:sz w:val="28"/>
          <w:szCs w:val="28"/>
        </w:rPr>
        <w:t xml:space="preserve"> </w:t>
      </w:r>
      <w:r>
        <w:rPr>
          <w:rFonts w:hint="eastAsia" w:ascii="宋体" w:hAnsi="宋体" w:cs="宋体"/>
          <w:b/>
          <w:bCs/>
          <w:sz w:val="28"/>
          <w:szCs w:val="28"/>
          <w:lang w:val="en-US" w:eastAsia="zh-CN"/>
        </w:rPr>
        <w:t>比选公告</w:t>
      </w:r>
    </w:p>
    <w:p>
      <w:pPr>
        <w:numPr>
          <w:numId w:val="0"/>
        </w:numPr>
        <w:spacing w:line="360" w:lineRule="auto"/>
        <w:jc w:val="center"/>
        <w:outlineLvl w:val="0"/>
        <w:rPr>
          <w:rFonts w:ascii="宋体"/>
          <w:b/>
          <w:bCs/>
          <w:sz w:val="28"/>
          <w:szCs w:val="28"/>
        </w:rPr>
      </w:pPr>
      <w:bookmarkStart w:id="81" w:name="_GoBack"/>
      <w:r>
        <w:rPr>
          <w:rFonts w:hint="eastAsia" w:ascii="宋体" w:hAnsi="宋体" w:cs="宋体"/>
          <w:b/>
          <w:bCs/>
          <w:sz w:val="28"/>
          <w:szCs w:val="28"/>
        </w:rPr>
        <w:t>2024年补充医疗保险项目采购</w:t>
      </w:r>
      <w:r>
        <w:rPr>
          <w:rFonts w:hint="eastAsia" w:ascii="宋体" w:hAnsi="宋体" w:cs="宋体"/>
          <w:b/>
          <w:bCs/>
          <w:sz w:val="28"/>
          <w:szCs w:val="28"/>
          <w:lang w:val="en-US" w:eastAsia="zh-CN"/>
        </w:rPr>
        <w:t xml:space="preserve"> </w:t>
      </w:r>
      <w:r>
        <w:rPr>
          <w:rFonts w:hint="eastAsia" w:ascii="宋体" w:hAnsi="宋体" w:cs="宋体"/>
          <w:b/>
          <w:bCs/>
          <w:sz w:val="28"/>
          <w:szCs w:val="28"/>
        </w:rPr>
        <w:t>比选公告</w:t>
      </w:r>
      <w:bookmarkEnd w:id="0"/>
    </w:p>
    <w:p>
      <w:pPr>
        <w:pStyle w:val="4"/>
        <w:spacing w:before="156" w:after="156" w:line="360" w:lineRule="auto"/>
        <w:ind w:firstLine="420" w:firstLineChars="200"/>
        <w:rPr>
          <w:rFonts w:ascii="宋体"/>
          <w:sz w:val="24"/>
          <w:szCs w:val="24"/>
          <w:u w:val="single"/>
        </w:rPr>
      </w:pPr>
      <w:bookmarkStart w:id="1" w:name="_Toc120633464"/>
      <w:bookmarkStart w:id="2" w:name="_Toc21929"/>
      <w:r>
        <w:rPr>
          <w:rFonts w:hint="eastAsia" w:ascii="宋体" w:hAnsi="宋体" w:cs="宋体"/>
          <w:b w:val="0"/>
          <w:sz w:val="21"/>
          <w:szCs w:val="21"/>
        </w:rPr>
        <w:t>为规范</w:t>
      </w:r>
      <w:r>
        <w:rPr>
          <w:rFonts w:hint="eastAsia" w:ascii="宋体" w:hAnsi="宋体" w:cs="宋体"/>
          <w:b w:val="0"/>
          <w:sz w:val="21"/>
          <w:szCs w:val="21"/>
          <w:lang w:val="en-US" w:eastAsia="zh-CN"/>
        </w:rPr>
        <w:t>竞争性比选</w:t>
      </w:r>
      <w:r>
        <w:rPr>
          <w:rFonts w:hint="eastAsia" w:ascii="宋体" w:hAnsi="宋体" w:cs="宋体"/>
          <w:b w:val="0"/>
          <w:sz w:val="21"/>
          <w:szCs w:val="21"/>
        </w:rPr>
        <w:t>行为，本着公开、公平、公正的原则，我司拟对</w:t>
      </w:r>
      <w:r>
        <w:rPr>
          <w:rFonts w:hint="eastAsia" w:ascii="宋体" w:hAnsi="宋体" w:cs="宋体"/>
          <w:b w:val="0"/>
          <w:sz w:val="21"/>
          <w:szCs w:val="21"/>
          <w:u w:val="single"/>
        </w:rPr>
        <w:t>2024年补充医疗保险项目采购（项目名称）</w:t>
      </w:r>
      <w:r>
        <w:rPr>
          <w:rFonts w:hint="eastAsia" w:ascii="宋体" w:hAnsi="宋体" w:cs="宋体"/>
          <w:b w:val="0"/>
          <w:sz w:val="21"/>
          <w:szCs w:val="21"/>
        </w:rPr>
        <w:t>竞选，资金来源：</w:t>
      </w:r>
      <w:r>
        <w:rPr>
          <w:rFonts w:hint="eastAsia" w:ascii="宋体" w:hAnsi="宋体" w:cs="宋体"/>
          <w:b w:val="0"/>
          <w:sz w:val="21"/>
          <w:szCs w:val="21"/>
          <w:u w:val="single"/>
        </w:rPr>
        <w:t>企业自筹</w:t>
      </w:r>
      <w:r>
        <w:rPr>
          <w:rFonts w:hint="eastAsia" w:ascii="宋体" w:hAnsi="宋体" w:cs="宋体"/>
          <w:b w:val="0"/>
          <w:sz w:val="21"/>
          <w:szCs w:val="21"/>
        </w:rPr>
        <w:t>，资金落实情况：</w:t>
      </w:r>
      <w:r>
        <w:rPr>
          <w:rFonts w:hint="eastAsia" w:ascii="宋体" w:hAnsi="宋体" w:cs="宋体"/>
          <w:b w:val="0"/>
          <w:sz w:val="21"/>
          <w:szCs w:val="21"/>
          <w:u w:val="single"/>
        </w:rPr>
        <w:t>已落实</w:t>
      </w:r>
      <w:r>
        <w:rPr>
          <w:rFonts w:hint="eastAsia" w:ascii="宋体" w:hAnsi="宋体" w:cs="宋体"/>
          <w:b w:val="0"/>
          <w:sz w:val="21"/>
          <w:szCs w:val="21"/>
        </w:rPr>
        <w:t>，将采用</w:t>
      </w:r>
      <w:r>
        <w:rPr>
          <w:rFonts w:hint="eastAsia" w:ascii="宋体" w:hAnsi="宋体" w:cs="宋体"/>
          <w:b w:val="0"/>
          <w:sz w:val="21"/>
          <w:szCs w:val="21"/>
          <w:u w:val="single"/>
        </w:rPr>
        <w:t>竞争性比选（公开）</w:t>
      </w:r>
      <w:r>
        <w:rPr>
          <w:rFonts w:hint="eastAsia" w:ascii="宋体" w:hAnsi="宋体" w:cs="宋体"/>
          <w:b w:val="0"/>
          <w:sz w:val="21"/>
          <w:szCs w:val="21"/>
        </w:rPr>
        <w:t>的方式择优选定服务单位。特邀请有兴趣且符合条件的潜在比选申请人参与竞选。</w:t>
      </w:r>
      <w:bookmarkEnd w:id="1"/>
      <w:bookmarkEnd w:id="2"/>
    </w:p>
    <w:p>
      <w:pPr>
        <w:tabs>
          <w:tab w:val="left" w:pos="1800"/>
        </w:tabs>
        <w:spacing w:line="360" w:lineRule="auto"/>
        <w:ind w:right="-874" w:rightChars="-416" w:firstLine="420" w:firstLineChars="200"/>
        <w:rPr>
          <w:rFonts w:ascii="宋体" w:hAnsi="宋体" w:cs="宋体"/>
        </w:rPr>
      </w:pPr>
      <w:r>
        <w:rPr>
          <w:rFonts w:hint="eastAsia" w:ascii="宋体" w:hAnsi="宋体" w:cs="宋体"/>
        </w:rPr>
        <w:t>1、项目名称：</w:t>
      </w:r>
      <w:r>
        <w:rPr>
          <w:rFonts w:hint="eastAsia" w:ascii="宋体" w:hAnsi="宋体" w:cs="宋体"/>
          <w:u w:val="single"/>
        </w:rPr>
        <w:t>2024年补充医疗保险项目采购</w:t>
      </w:r>
    </w:p>
    <w:p>
      <w:pPr>
        <w:tabs>
          <w:tab w:val="left" w:pos="1800"/>
        </w:tabs>
        <w:spacing w:line="360" w:lineRule="auto"/>
        <w:ind w:right="-874" w:rightChars="-416" w:firstLine="420" w:firstLineChars="200"/>
        <w:rPr>
          <w:rFonts w:ascii="宋体"/>
        </w:rPr>
      </w:pPr>
      <w:r>
        <w:rPr>
          <w:rFonts w:ascii="宋体" w:hAnsi="宋体" w:cs="宋体"/>
        </w:rPr>
        <w:t>2</w:t>
      </w:r>
      <w:r>
        <w:rPr>
          <w:rFonts w:hint="eastAsia" w:ascii="宋体" w:hAnsi="宋体" w:cs="宋体"/>
        </w:rPr>
        <w:t>、项目地址：</w:t>
      </w:r>
      <w:r>
        <w:rPr>
          <w:rFonts w:hint="eastAsia" w:ascii="宋体" w:hAnsi="宋体" w:cs="宋体"/>
          <w:u w:val="single"/>
        </w:rPr>
        <w:t>重庆市江北区五简路二号重咨大厦</w:t>
      </w:r>
    </w:p>
    <w:p>
      <w:pPr>
        <w:adjustRightInd w:val="0"/>
        <w:snapToGrid w:val="0"/>
        <w:spacing w:line="360" w:lineRule="auto"/>
        <w:ind w:firstLine="420" w:firstLineChars="200"/>
        <w:rPr>
          <w:rFonts w:ascii="宋体" w:hAnsi="宋体" w:cs="宋体"/>
        </w:rPr>
      </w:pPr>
      <w:r>
        <w:rPr>
          <w:rFonts w:ascii="宋体" w:hAnsi="宋体" w:cs="宋体"/>
        </w:rPr>
        <w:t>3</w:t>
      </w:r>
      <w:r>
        <w:rPr>
          <w:rFonts w:hint="eastAsia" w:ascii="宋体" w:hAnsi="宋体" w:cs="宋体"/>
        </w:rPr>
        <w:t>、项目概况：</w:t>
      </w:r>
    </w:p>
    <w:p>
      <w:pPr>
        <w:pStyle w:val="2"/>
        <w:spacing w:after="156" w:afterLines="50" w:line="360" w:lineRule="auto"/>
        <w:ind w:firstLine="420" w:firstLineChars="200"/>
      </w:pPr>
      <w:r>
        <w:rPr>
          <w:rFonts w:hint="eastAsia"/>
          <w:sz w:val="21"/>
          <w:szCs w:val="21"/>
        </w:rPr>
        <w:t>2024年补充医疗保险项目采购预算276万元，其中包含商业团体补充医疗保险保费、健康保障委托管理服务资金、健康保障委托管理费等三类费用。2024年重咨集团本部计划参保人数429人（其中在职员工325人，退休人员104人，以投保时统计人数为准）。在保险期间被保险人因意外或疾病需要住院治疗，以及门诊治疗（含凭借门诊处方在定点零售药房购药）等，发生的符合重庆市基本医疗保险统筹基金范围内的医疗费用，对于基本医保报销后的剩余部分进行补充医疗保险报销。</w:t>
      </w:r>
    </w:p>
    <w:p>
      <w:pPr>
        <w:adjustRightInd w:val="0"/>
        <w:snapToGrid w:val="0"/>
        <w:spacing w:line="360" w:lineRule="auto"/>
        <w:ind w:firstLine="420" w:firstLineChars="200"/>
        <w:rPr>
          <w:rFonts w:ascii="宋体" w:hAnsi="宋体" w:cs="宋体"/>
        </w:rPr>
      </w:pPr>
      <w:r>
        <w:rPr>
          <w:rFonts w:hint="eastAsia" w:ascii="宋体" w:hAnsi="宋体" w:cs="宋体"/>
        </w:rPr>
        <w:t>3.1、服务范围及要求：</w:t>
      </w:r>
    </w:p>
    <w:p>
      <w:pPr>
        <w:adjustRightInd w:val="0"/>
        <w:snapToGrid w:val="0"/>
        <w:spacing w:line="360" w:lineRule="auto"/>
        <w:ind w:firstLine="420" w:firstLineChars="200"/>
        <w:rPr>
          <w:rFonts w:ascii="宋体" w:hAnsi="宋体" w:cs="宋体"/>
        </w:rPr>
      </w:pPr>
      <w:r>
        <w:rPr>
          <w:rFonts w:hint="eastAsia" w:ascii="宋体" w:hAnsi="宋体" w:cs="宋体"/>
        </w:rPr>
        <w:t>3.1.1服务内容：主要包括商业团体补充医疗保险和健康保障委托管理服务，由比选申请人提供整体产品方案。</w:t>
      </w:r>
    </w:p>
    <w:p>
      <w:pPr>
        <w:adjustRightInd w:val="0"/>
        <w:snapToGrid w:val="0"/>
        <w:spacing w:line="360" w:lineRule="auto"/>
        <w:ind w:firstLine="420" w:firstLineChars="200"/>
        <w:rPr>
          <w:rFonts w:ascii="宋体" w:hAnsi="宋体" w:cs="宋体"/>
        </w:rPr>
      </w:pPr>
      <w:r>
        <w:rPr>
          <w:rFonts w:hint="eastAsia" w:ascii="宋体" w:hAnsi="宋体" w:cs="宋体"/>
        </w:rPr>
        <w:t>3.1.2保障范围：（1）商业团体补充医疗保险保障范围：在保险期间被保险人因意外原因或疾病（一般疾病、重大疾病）在</w:t>
      </w:r>
      <w:r>
        <w:rPr>
          <w:rFonts w:hint="eastAsia" w:cs="宋体" w:asciiTheme="minorEastAsia" w:hAnsiTheme="minorEastAsia" w:eastAsiaTheme="minorEastAsia"/>
        </w:rPr>
        <w:t>医保定点医疗机构发生的</w:t>
      </w:r>
      <w:r>
        <w:rPr>
          <w:rFonts w:hint="eastAsia" w:ascii="宋体" w:hAnsi="宋体" w:cs="宋体"/>
        </w:rPr>
        <w:t>医疗费用，具体包括</w:t>
      </w:r>
      <w:r>
        <w:rPr>
          <w:rFonts w:hint="eastAsia" w:cs="宋体" w:asciiTheme="minorEastAsia" w:hAnsiTheme="minorEastAsia" w:eastAsiaTheme="minorEastAsia"/>
        </w:rPr>
        <w:t>住院医疗保险、住院津贴、重大疾病医疗保险。</w:t>
      </w:r>
      <w:r>
        <w:rPr>
          <w:rFonts w:hint="eastAsia" w:ascii="宋体" w:hAnsi="宋体" w:cs="宋体"/>
        </w:rPr>
        <w:t>（2）健康保障委托管理服务保障范围：实现补助员工超出基本医疗保险支付以外的医疗费用的服务。医疗补助按照一定的规则，确定员工授权额度，报销员工医疗费用。此部分委托资金利率不低于人民币活期存款基准利率。</w:t>
      </w:r>
    </w:p>
    <w:p>
      <w:pPr>
        <w:adjustRightInd w:val="0"/>
        <w:snapToGrid w:val="0"/>
        <w:spacing w:line="360" w:lineRule="auto"/>
        <w:ind w:firstLine="420" w:firstLineChars="200"/>
        <w:rPr>
          <w:rFonts w:ascii="宋体" w:hAnsi="宋体" w:cs="宋体"/>
        </w:rPr>
      </w:pPr>
      <w:r>
        <w:rPr>
          <w:rFonts w:hint="eastAsia" w:ascii="宋体" w:hAnsi="宋体" w:cs="宋体"/>
        </w:rPr>
        <w:t>3.1.3保障内容要求</w:t>
      </w:r>
    </w:p>
    <w:p>
      <w:pPr>
        <w:adjustRightInd w:val="0"/>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3.1.3.1住院医疗保险：因罹患普通疾病（含特殊疾病）和意外事故，在医保定点的医疗机构住院期间发生并支付的符合当地基本医疗保险基金支付范围的合理且必要的费用，在经基本医疗统筹基金支付后，含乙类自付部分，按0免赔额，100%比例赔付；扩展自费药品费用，报销比例为不低于30%。保险金额在职职工5万元/年，退休职工3万元/年。</w:t>
      </w:r>
    </w:p>
    <w:p>
      <w:pPr>
        <w:adjustRightInd w:val="0"/>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3.1.3.2住院津贴：因发生意外事故或因疾病在医院住院治疗的，按0免赔天数，在职职工200元/天，退休职工100元/天给付住院津贴保险金，全年最高赔付90天，次年重新计算。</w:t>
      </w:r>
    </w:p>
    <w:p>
      <w:pPr>
        <w:adjustRightInd w:val="0"/>
        <w:snapToGrid w:val="0"/>
        <w:spacing w:line="360" w:lineRule="auto"/>
        <w:ind w:firstLine="420" w:firstLineChars="200"/>
        <w:rPr>
          <w:rFonts w:cs="宋体" w:asciiTheme="minorEastAsia" w:hAnsiTheme="minorEastAsia" w:eastAsiaTheme="minorEastAsia"/>
          <w:b/>
        </w:rPr>
      </w:pPr>
      <w:r>
        <w:rPr>
          <w:rFonts w:hint="eastAsia" w:cs="宋体" w:asciiTheme="minorEastAsia" w:hAnsiTheme="minorEastAsia" w:eastAsiaTheme="minorEastAsia"/>
        </w:rPr>
        <w:t>3.1.3.3重大疾病医疗保险：包括28种基本重大疾病（重症）和3种重大疾病（轻症）（中国保险行业协会制定《重大疾病保险的疾病定义使用规范（2020年修订版）》），并进行拓展，分为重症、轻症，重症总数不低于45种，轻症总数不低于10种。初次罹患重大疾病产生的医疗费用</w:t>
      </w:r>
      <w:r>
        <w:rPr>
          <w:rFonts w:hint="eastAsia" w:cs="宋体" w:asciiTheme="minorEastAsia" w:hAnsiTheme="minorEastAsia" w:eastAsiaTheme="minorEastAsia"/>
          <w:b/>
        </w:rPr>
        <w:t>（</w:t>
      </w:r>
      <w:r>
        <w:rPr>
          <w:rFonts w:hint="eastAsia" w:cs="宋体" w:asciiTheme="minorEastAsia" w:hAnsiTheme="minorEastAsia" w:eastAsiaTheme="minorEastAsia"/>
        </w:rPr>
        <w:t>含门诊及住院</w:t>
      </w:r>
      <w:r>
        <w:rPr>
          <w:rFonts w:hint="eastAsia" w:cs="宋体" w:asciiTheme="minorEastAsia" w:hAnsiTheme="minorEastAsia" w:eastAsiaTheme="minorEastAsia"/>
          <w:b/>
        </w:rPr>
        <w:t>）</w:t>
      </w:r>
      <w:r>
        <w:rPr>
          <w:rFonts w:hint="eastAsia" w:cs="宋体" w:asciiTheme="minorEastAsia" w:hAnsiTheme="minorEastAsia" w:eastAsiaTheme="minorEastAsia"/>
        </w:rPr>
        <w:t>，含乙类自付及自费费用，按0免赔额，100%比例赔付。保额在职职工：重症20万元/年、轻症6万元/年；退休职工：重症10万元/年、轻症3万元/年。初次罹患不同种类的重大疾病（含重症、轻症），应分别进行赔付</w:t>
      </w:r>
      <w:r>
        <w:rPr>
          <w:rFonts w:hint="eastAsia"/>
        </w:rPr>
        <w:t>。当重大疾病医疗保险与住院医疗保险赔付重叠时，符合重大疾病范围的，优先按重大疾病医疗保险进行赔付</w:t>
      </w:r>
      <w:r>
        <w:rPr>
          <w:rFonts w:hint="eastAsia" w:cs="宋体" w:asciiTheme="minorEastAsia" w:hAnsiTheme="minorEastAsia" w:eastAsiaTheme="minorEastAsia"/>
          <w:b/>
        </w:rPr>
        <w:t>。</w:t>
      </w:r>
    </w:p>
    <w:p>
      <w:pPr>
        <w:adjustRightInd w:val="0"/>
        <w:snapToGrid w:val="0"/>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3.1.3.4健康保障委托管理服务：由比选人委托比选申请人向团体成员提供健康保障项目专项资金。作为对基本医保、住院医疗保险和重大疾病医疗保险的一个补充，可用于支付住院、门诊等符合规定的医疗费用。</w:t>
      </w:r>
    </w:p>
    <w:p>
      <w:pPr>
        <w:adjustRightInd w:val="0"/>
        <w:snapToGrid w:val="0"/>
        <w:spacing w:line="360" w:lineRule="auto"/>
        <w:ind w:firstLine="420" w:firstLineChars="200"/>
        <w:rPr>
          <w:rFonts w:ascii="宋体" w:hAnsi="宋体" w:cs="宋体"/>
        </w:rPr>
      </w:pPr>
      <w:r>
        <w:rPr>
          <w:rFonts w:hint="eastAsia" w:ascii="宋体" w:hAnsi="宋体" w:cs="宋体"/>
        </w:rPr>
        <w:t>3.1.4服务要求</w:t>
      </w:r>
    </w:p>
    <w:p>
      <w:pPr>
        <w:adjustRightInd w:val="0"/>
        <w:snapToGrid w:val="0"/>
        <w:spacing w:line="360" w:lineRule="auto"/>
        <w:ind w:firstLine="420" w:firstLineChars="200"/>
        <w:rPr>
          <w:rFonts w:ascii="宋体" w:hAnsi="宋体" w:cs="宋体"/>
        </w:rPr>
      </w:pPr>
      <w:r>
        <w:rPr>
          <w:rFonts w:hint="eastAsia" w:ascii="宋体" w:hAnsi="宋体" w:cs="宋体"/>
        </w:rPr>
        <w:t>提供的产品中，总体上采取“线上+线下”的基本服务方式，做到专人服务、理赔便捷、操作方便。</w:t>
      </w:r>
    </w:p>
    <w:p>
      <w:pPr>
        <w:spacing w:line="360" w:lineRule="auto"/>
        <w:ind w:firstLine="420" w:firstLineChars="200"/>
      </w:pPr>
      <w:r>
        <w:rPr>
          <w:rFonts w:ascii="宋体" w:hAnsi="宋体" w:cs="宋体"/>
        </w:rPr>
        <w:t>4</w:t>
      </w:r>
      <w:r>
        <w:rPr>
          <w:rFonts w:hint="eastAsia" w:ascii="宋体" w:hAnsi="宋体" w:cs="宋体"/>
        </w:rPr>
        <w:t>、服务期：本次采购服务年限为1年。保单合同每年一签。比选人年底</w:t>
      </w:r>
      <w:r>
        <w:rPr>
          <w:rFonts w:hint="eastAsia" w:cs="宋体" w:asciiTheme="minorEastAsia" w:hAnsiTheme="minorEastAsia" w:eastAsiaTheme="minorEastAsia"/>
        </w:rPr>
        <w:t>结合职工满意度调查情况</w:t>
      </w:r>
      <w:r>
        <w:rPr>
          <w:rFonts w:hint="eastAsia" w:ascii="宋体" w:hAnsi="宋体" w:cs="宋体"/>
        </w:rPr>
        <w:t>，对比选申请人提供的保险理赔服务进行考核，决定是否续签，若考核合格，可续签合同，保险项目单价保持不变。2025年及以后年份的参保人数、保费预算等根据比选人的实际需求确定。若考核不合格，则不再续签。如果不再续签，比选申请人为比选人提供的健康保障委托管理服务在有效期内的仍应继续履行。</w:t>
      </w:r>
    </w:p>
    <w:p>
      <w:pPr>
        <w:spacing w:line="360" w:lineRule="auto"/>
        <w:ind w:firstLine="420" w:firstLineChars="200"/>
        <w:rPr>
          <w:rFonts w:ascii="宋体"/>
        </w:rPr>
      </w:pPr>
      <w:r>
        <w:rPr>
          <w:rFonts w:hint="eastAsia" w:ascii="宋体" w:hAnsi="宋体" w:cs="宋体"/>
        </w:rPr>
        <w:t>5、比选申请人资格条件要求：</w:t>
      </w:r>
    </w:p>
    <w:p>
      <w:pPr>
        <w:tabs>
          <w:tab w:val="left" w:pos="360"/>
        </w:tabs>
        <w:adjustRightInd w:val="0"/>
        <w:snapToGrid w:val="0"/>
        <w:spacing w:line="360" w:lineRule="auto"/>
        <w:ind w:left="630" w:leftChars="200" w:hanging="210" w:hangingChars="100"/>
        <w:rPr>
          <w:rFonts w:ascii="宋体" w:hAnsi="宋体" w:cs="宋体"/>
        </w:rPr>
      </w:pPr>
      <w:r>
        <w:rPr>
          <w:rFonts w:hint="eastAsia" w:ascii="宋体" w:hAnsi="宋体" w:cs="宋体"/>
        </w:rPr>
        <w:t>5.1 比选申请人须具有独立法人资格或为经总公司唯一授权的省级（或直辖市）分公司，并具有有效的营业执照；</w:t>
      </w:r>
    </w:p>
    <w:p>
      <w:pPr>
        <w:tabs>
          <w:tab w:val="left" w:pos="360"/>
        </w:tabs>
        <w:adjustRightInd w:val="0"/>
        <w:snapToGrid w:val="0"/>
        <w:spacing w:line="360" w:lineRule="auto"/>
        <w:ind w:left="630" w:leftChars="300"/>
      </w:pPr>
      <w:r>
        <w:rPr>
          <w:rFonts w:hint="eastAsia" w:ascii="宋体" w:hAnsi="宋体" w:cs="宋体"/>
        </w:rPr>
        <w:t>[提供有效营业执照复印件并加盖比选申请人公章，若为被授权分公司，</w:t>
      </w:r>
      <w:r>
        <w:rPr>
          <w:rFonts w:hint="eastAsia" w:ascii="宋体" w:hAnsi="宋体" w:cs="宋体"/>
          <w:shd w:val="clear" w:color="auto" w:fill="FFFFFF"/>
        </w:rPr>
        <w:t>须提供授权书复印件（格式自拟）并加盖比选申请人公章</w:t>
      </w:r>
      <w:r>
        <w:rPr>
          <w:rFonts w:hint="eastAsia" w:ascii="宋体" w:hAnsi="宋体" w:cs="宋体"/>
        </w:rPr>
        <w:t>]</w:t>
      </w:r>
    </w:p>
    <w:p>
      <w:pPr>
        <w:spacing w:line="360" w:lineRule="auto"/>
        <w:ind w:left="420" w:leftChars="200"/>
        <w:rPr>
          <w:rFonts w:ascii="宋体" w:hAnsi="宋体" w:cs="宋体"/>
        </w:rPr>
      </w:pPr>
      <w:r>
        <w:rPr>
          <w:rFonts w:hint="eastAsia" w:ascii="宋体" w:hAnsi="宋体" w:cs="宋体"/>
        </w:rPr>
        <w:t>5.2 比选申请人（或其总公司）具有中国保险监督管理委员会或中国银行保险监督管理委员会核发的《经营保险业务许可证》；</w:t>
      </w:r>
    </w:p>
    <w:p>
      <w:pPr>
        <w:spacing w:line="360" w:lineRule="auto"/>
        <w:ind w:left="420" w:leftChars="200" w:firstLine="210" w:firstLineChars="100"/>
        <w:rPr>
          <w:rFonts w:ascii="宋体" w:hAnsi="宋体" w:cs="宋体"/>
          <w:shd w:val="clear" w:color="auto" w:fill="FFFFFF"/>
        </w:rPr>
      </w:pPr>
      <w:r>
        <w:rPr>
          <w:rFonts w:hint="eastAsia" w:ascii="宋体" w:hAnsi="宋体" w:cs="宋体"/>
        </w:rPr>
        <w:t>[提供《经营保险业务许可证》复印件并加盖比选申请人公章]</w:t>
      </w:r>
      <w:r>
        <w:rPr>
          <w:rFonts w:hint="eastAsia" w:ascii="宋体" w:hAnsi="宋体" w:cs="宋体"/>
        </w:rPr>
        <w:br w:type="textWrapping"/>
      </w:r>
      <w:r>
        <w:rPr>
          <w:rFonts w:hint="eastAsia" w:ascii="宋体" w:hAnsi="宋体" w:cs="宋体"/>
        </w:rPr>
        <w:t xml:space="preserve">5.3 </w:t>
      </w:r>
      <w:r>
        <w:rPr>
          <w:shd w:val="clear" w:color="auto" w:fill="FFFFFF"/>
        </w:rPr>
        <w:t>202</w:t>
      </w:r>
      <w:r>
        <w:rPr>
          <w:rFonts w:hint="eastAsia"/>
          <w:shd w:val="clear" w:color="auto" w:fill="FFFFFF"/>
        </w:rPr>
        <w:t>3</w:t>
      </w:r>
      <w:r>
        <w:rPr>
          <w:rFonts w:hint="eastAsia" w:ascii="宋体" w:hAnsi="宋体" w:cs="宋体"/>
          <w:shd w:val="clear" w:color="auto" w:fill="FFFFFF"/>
        </w:rPr>
        <w:t>年</w:t>
      </w:r>
      <w:r>
        <w:rPr>
          <w:shd w:val="clear" w:color="auto" w:fill="FFFFFF"/>
        </w:rPr>
        <w:t>01</w:t>
      </w:r>
      <w:r>
        <w:rPr>
          <w:rFonts w:hint="eastAsia" w:ascii="宋体" w:hAnsi="宋体" w:cs="宋体"/>
          <w:shd w:val="clear" w:color="auto" w:fill="FFFFFF"/>
        </w:rPr>
        <w:t>月</w:t>
      </w:r>
      <w:r>
        <w:rPr>
          <w:shd w:val="clear" w:color="auto" w:fill="FFFFFF"/>
        </w:rPr>
        <w:t>01</w:t>
      </w:r>
      <w:r>
        <w:rPr>
          <w:rFonts w:hint="eastAsia" w:ascii="宋体" w:hAnsi="宋体" w:cs="宋体"/>
          <w:shd w:val="clear" w:color="auto" w:fill="FFFFFF"/>
        </w:rPr>
        <w:t>日至比选截止日止，比选申请人</w:t>
      </w:r>
      <w:r>
        <w:rPr>
          <w:rFonts w:hint="eastAsia" w:ascii="宋体" w:hAnsi="宋体"/>
        </w:rPr>
        <w:t>未被列入“信用中国”网站“失信被执行人”或“重大税收违法失信主体”</w:t>
      </w:r>
      <w:r>
        <w:rPr>
          <w:rFonts w:hint="eastAsia" w:ascii="宋体" w:hAnsi="宋体" w:cs="宋体"/>
          <w:shd w:val="clear" w:color="auto" w:fill="FFFFFF"/>
        </w:rPr>
        <w:t>；</w:t>
      </w:r>
    </w:p>
    <w:p>
      <w:pPr>
        <w:spacing w:line="360" w:lineRule="auto"/>
        <w:ind w:left="420" w:leftChars="200" w:firstLine="210" w:firstLineChars="100"/>
        <w:rPr>
          <w:rFonts w:ascii="宋体" w:hAnsi="宋体" w:cs="宋体"/>
          <w:shd w:val="clear" w:color="auto" w:fill="FFFFFF"/>
        </w:rPr>
      </w:pPr>
      <w:r>
        <w:rPr>
          <w:rFonts w:hint="eastAsia" w:ascii="宋体" w:hAnsi="宋体" w:cs="宋体"/>
          <w:shd w:val="clear" w:color="auto" w:fill="FFFFFF"/>
        </w:rPr>
        <w:t>[比选申请人自行承诺，并提供网页截图，承诺格式自拟，并加盖比选申请人公章]</w:t>
      </w:r>
    </w:p>
    <w:p>
      <w:pPr>
        <w:tabs>
          <w:tab w:val="left" w:pos="360"/>
        </w:tabs>
        <w:adjustRightInd w:val="0"/>
        <w:snapToGrid w:val="0"/>
        <w:spacing w:line="360" w:lineRule="auto"/>
        <w:ind w:left="630" w:leftChars="200" w:hanging="210" w:hangingChars="100"/>
      </w:pPr>
      <w:r>
        <w:rPr>
          <w:rFonts w:hint="eastAsia" w:ascii="宋体" w:hAnsi="宋体" w:cs="宋体"/>
        </w:rPr>
        <w:t>5.4法定代表人为同一个人的两个及两个以上法人，母公司、全资子公司及其控股公司，存在控股、管理关系的不同单位，都不得在同一比选项目中同时参与竞选，否则均为无效响应；</w:t>
      </w:r>
    </w:p>
    <w:p>
      <w:pPr>
        <w:spacing w:line="360" w:lineRule="auto"/>
        <w:ind w:firstLine="420" w:firstLineChars="200"/>
      </w:pPr>
      <w:r>
        <w:rPr>
          <w:rFonts w:hint="eastAsia" w:ascii="宋体" w:hAnsi="宋体" w:cs="宋体"/>
        </w:rPr>
        <w:t>5.5 本次比选不接受联合体竞选。</w:t>
      </w:r>
    </w:p>
    <w:p>
      <w:pPr>
        <w:pStyle w:val="32"/>
        <w:spacing w:before="0" w:beforeAutospacing="0" w:after="0" w:afterAutospacing="0" w:line="450" w:lineRule="atLeast"/>
        <w:ind w:firstLine="420"/>
        <w:jc w:val="both"/>
        <w:rPr>
          <w:kern w:val="2"/>
          <w:sz w:val="21"/>
          <w:szCs w:val="21"/>
        </w:rPr>
      </w:pPr>
      <w:r>
        <w:rPr>
          <w:rFonts w:hint="eastAsia"/>
          <w:kern w:val="2"/>
          <w:sz w:val="21"/>
          <w:szCs w:val="21"/>
        </w:rPr>
        <w:t>6、比选文件的获取：</w:t>
      </w:r>
    </w:p>
    <w:p>
      <w:pPr>
        <w:pStyle w:val="32"/>
        <w:spacing w:before="0" w:beforeAutospacing="0" w:after="0" w:afterAutospacing="0" w:line="450" w:lineRule="atLeast"/>
        <w:ind w:firstLine="420"/>
        <w:jc w:val="both"/>
        <w:rPr>
          <w:kern w:val="2"/>
          <w:sz w:val="21"/>
          <w:szCs w:val="21"/>
        </w:rPr>
      </w:pPr>
      <w:r>
        <w:rPr>
          <w:rFonts w:hint="eastAsia"/>
          <w:kern w:val="2"/>
          <w:sz w:val="21"/>
          <w:szCs w:val="21"/>
        </w:rPr>
        <w:t>6.1凡有意参加竞选者，请于</w:t>
      </w:r>
      <w:r>
        <w:rPr>
          <w:kern w:val="2"/>
          <w:sz w:val="21"/>
          <w:szCs w:val="21"/>
        </w:rPr>
        <w:t>2024</w:t>
      </w:r>
      <w:r>
        <w:rPr>
          <w:rFonts w:hint="eastAsia"/>
          <w:kern w:val="2"/>
          <w:sz w:val="21"/>
          <w:szCs w:val="21"/>
        </w:rPr>
        <w:t>年</w:t>
      </w:r>
      <w:r>
        <w:rPr>
          <w:rFonts w:hint="eastAsia"/>
          <w:kern w:val="2"/>
          <w:sz w:val="21"/>
          <w:szCs w:val="21"/>
          <w:lang w:val="en-US" w:eastAsia="zh-CN"/>
        </w:rPr>
        <w:t>2</w:t>
      </w:r>
      <w:r>
        <w:rPr>
          <w:rFonts w:hint="eastAsia"/>
          <w:kern w:val="2"/>
          <w:sz w:val="21"/>
          <w:szCs w:val="21"/>
        </w:rPr>
        <w:t>月</w:t>
      </w:r>
      <w:r>
        <w:rPr>
          <w:rFonts w:hint="eastAsia"/>
          <w:kern w:val="2"/>
          <w:sz w:val="21"/>
          <w:szCs w:val="21"/>
          <w:lang w:val="en-US" w:eastAsia="zh-CN"/>
        </w:rPr>
        <w:t>7</w:t>
      </w:r>
      <w:r>
        <w:rPr>
          <w:rFonts w:hint="eastAsia"/>
          <w:kern w:val="2"/>
          <w:sz w:val="21"/>
          <w:szCs w:val="21"/>
        </w:rPr>
        <w:t>日（北京时间，下同）起在重庆国际投资咨询集团有限公司网（</w:t>
      </w:r>
      <w:r>
        <w:rPr>
          <w:kern w:val="2"/>
          <w:sz w:val="21"/>
          <w:szCs w:val="21"/>
        </w:rPr>
        <w:t>http://www.cqiic.com/</w:t>
      </w:r>
      <w:r>
        <w:rPr>
          <w:rFonts w:hint="eastAsia"/>
          <w:kern w:val="2"/>
          <w:sz w:val="21"/>
          <w:szCs w:val="21"/>
        </w:rPr>
        <w:t>）下载比选文件、澄清、修改、补充通知、最高限价通知等全部内容。不管下载与否都视为潜在比选申请人全部知晓有关比选全部内容。</w:t>
      </w:r>
    </w:p>
    <w:p>
      <w:pPr>
        <w:pStyle w:val="32"/>
        <w:spacing w:before="0" w:beforeAutospacing="0" w:after="0" w:afterAutospacing="0" w:line="450" w:lineRule="atLeast"/>
        <w:ind w:firstLine="420"/>
        <w:jc w:val="both"/>
        <w:rPr>
          <w:kern w:val="2"/>
          <w:sz w:val="21"/>
          <w:szCs w:val="21"/>
        </w:rPr>
      </w:pPr>
      <w:r>
        <w:rPr>
          <w:rFonts w:hint="eastAsia"/>
          <w:kern w:val="2"/>
          <w:sz w:val="21"/>
          <w:szCs w:val="21"/>
        </w:rPr>
        <w:t>6.2比选申请人通过电子邮件形式（电子邮箱：1638754528</w:t>
      </w:r>
      <w:r>
        <w:rPr>
          <w:kern w:val="2"/>
          <w:sz w:val="21"/>
          <w:szCs w:val="21"/>
        </w:rPr>
        <w:t>@qq.com</w:t>
      </w:r>
      <w:r>
        <w:rPr>
          <w:rFonts w:hint="eastAsia"/>
          <w:kern w:val="2"/>
          <w:sz w:val="21"/>
          <w:szCs w:val="21"/>
        </w:rPr>
        <w:t>）提出疑问，提问时间从本公告发布至</w:t>
      </w:r>
      <w:r>
        <w:rPr>
          <w:kern w:val="2"/>
          <w:sz w:val="21"/>
          <w:szCs w:val="21"/>
        </w:rPr>
        <w:t>2024</w:t>
      </w:r>
      <w:r>
        <w:rPr>
          <w:rFonts w:hint="eastAsia"/>
          <w:kern w:val="2"/>
          <w:sz w:val="21"/>
          <w:szCs w:val="21"/>
        </w:rPr>
        <w:t>年</w:t>
      </w:r>
      <w:r>
        <w:rPr>
          <w:rFonts w:hint="eastAsia"/>
          <w:kern w:val="2"/>
          <w:sz w:val="21"/>
          <w:szCs w:val="21"/>
          <w:lang w:val="en-US" w:eastAsia="zh-CN"/>
        </w:rPr>
        <w:t>2</w:t>
      </w:r>
      <w:r>
        <w:rPr>
          <w:rFonts w:hint="eastAsia"/>
          <w:kern w:val="2"/>
          <w:sz w:val="21"/>
          <w:szCs w:val="21"/>
        </w:rPr>
        <w:t>月</w:t>
      </w:r>
      <w:r>
        <w:rPr>
          <w:rFonts w:hint="eastAsia"/>
          <w:kern w:val="2"/>
          <w:sz w:val="21"/>
          <w:szCs w:val="21"/>
          <w:lang w:val="en-US" w:eastAsia="zh-CN"/>
        </w:rPr>
        <w:t>18</w:t>
      </w:r>
      <w:r>
        <w:rPr>
          <w:rFonts w:hint="eastAsia"/>
          <w:kern w:val="2"/>
          <w:sz w:val="21"/>
          <w:szCs w:val="21"/>
        </w:rPr>
        <w:t>日17时</w:t>
      </w:r>
      <w:r>
        <w:rPr>
          <w:kern w:val="2"/>
          <w:sz w:val="21"/>
          <w:szCs w:val="21"/>
        </w:rPr>
        <w:t>00</w:t>
      </w:r>
      <w:r>
        <w:rPr>
          <w:rFonts w:hint="eastAsia"/>
          <w:kern w:val="2"/>
          <w:sz w:val="21"/>
          <w:szCs w:val="21"/>
        </w:rPr>
        <w:t>分（北京时间）前。</w:t>
      </w:r>
    </w:p>
    <w:p>
      <w:pPr>
        <w:pStyle w:val="32"/>
        <w:spacing w:before="0" w:beforeAutospacing="0" w:after="0" w:afterAutospacing="0" w:line="450" w:lineRule="atLeast"/>
        <w:ind w:firstLine="420"/>
        <w:jc w:val="both"/>
        <w:rPr>
          <w:kern w:val="2"/>
          <w:sz w:val="21"/>
          <w:szCs w:val="21"/>
        </w:rPr>
      </w:pPr>
      <w:r>
        <w:rPr>
          <w:rFonts w:hint="eastAsia"/>
          <w:kern w:val="2"/>
          <w:sz w:val="21"/>
          <w:szCs w:val="21"/>
        </w:rPr>
        <w:t>6.3比选人应于</w:t>
      </w:r>
      <w:r>
        <w:rPr>
          <w:kern w:val="2"/>
          <w:sz w:val="21"/>
          <w:szCs w:val="21"/>
        </w:rPr>
        <w:t>2024</w:t>
      </w:r>
      <w:r>
        <w:rPr>
          <w:rFonts w:hint="eastAsia"/>
          <w:kern w:val="2"/>
          <w:sz w:val="21"/>
          <w:szCs w:val="21"/>
        </w:rPr>
        <w:t>年</w:t>
      </w:r>
      <w:r>
        <w:rPr>
          <w:rFonts w:hint="eastAsia"/>
          <w:kern w:val="2"/>
          <w:sz w:val="21"/>
          <w:szCs w:val="21"/>
          <w:lang w:val="en-US" w:eastAsia="zh-CN"/>
        </w:rPr>
        <w:t>2</w:t>
      </w:r>
      <w:r>
        <w:rPr>
          <w:rFonts w:hint="eastAsia"/>
          <w:kern w:val="2"/>
          <w:sz w:val="21"/>
          <w:szCs w:val="21"/>
        </w:rPr>
        <w:t>月</w:t>
      </w:r>
      <w:r>
        <w:rPr>
          <w:rFonts w:hint="eastAsia"/>
          <w:kern w:val="2"/>
          <w:sz w:val="21"/>
          <w:szCs w:val="21"/>
          <w:lang w:val="en-US" w:eastAsia="zh-CN"/>
        </w:rPr>
        <w:t>19</w:t>
      </w:r>
      <w:r>
        <w:rPr>
          <w:rFonts w:hint="eastAsia"/>
          <w:kern w:val="2"/>
          <w:sz w:val="21"/>
          <w:szCs w:val="21"/>
        </w:rPr>
        <w:t>日</w:t>
      </w:r>
      <w:r>
        <w:rPr>
          <w:kern w:val="2"/>
          <w:sz w:val="21"/>
          <w:szCs w:val="21"/>
        </w:rPr>
        <w:t>18</w:t>
      </w:r>
      <w:r>
        <w:rPr>
          <w:rFonts w:hint="eastAsia"/>
          <w:kern w:val="2"/>
          <w:sz w:val="21"/>
          <w:szCs w:val="21"/>
        </w:rPr>
        <w:t>时</w:t>
      </w:r>
      <w:r>
        <w:rPr>
          <w:kern w:val="2"/>
          <w:sz w:val="21"/>
          <w:szCs w:val="21"/>
        </w:rPr>
        <w:t>00</w:t>
      </w:r>
      <w:r>
        <w:rPr>
          <w:rFonts w:hint="eastAsia"/>
          <w:kern w:val="2"/>
          <w:sz w:val="21"/>
          <w:szCs w:val="21"/>
        </w:rPr>
        <w:t>分（北京时间）前在重庆国际投资咨询集团有限公司网（</w:t>
      </w:r>
      <w:r>
        <w:rPr>
          <w:kern w:val="2"/>
          <w:sz w:val="21"/>
          <w:szCs w:val="21"/>
        </w:rPr>
        <w:t>http://www.cqiic.com/</w:t>
      </w:r>
      <w:r>
        <w:rPr>
          <w:rFonts w:hint="eastAsia"/>
          <w:kern w:val="2"/>
          <w:sz w:val="21"/>
          <w:szCs w:val="21"/>
        </w:rPr>
        <w:t>）发布澄清或修改。</w:t>
      </w:r>
    </w:p>
    <w:p>
      <w:pPr>
        <w:spacing w:line="360" w:lineRule="auto"/>
        <w:ind w:firstLine="420" w:firstLineChars="200"/>
        <w:rPr>
          <w:rFonts w:ascii="宋体" w:hAnsi="宋体" w:cs="宋体"/>
        </w:rPr>
      </w:pPr>
      <w:r>
        <w:rPr>
          <w:rFonts w:hint="eastAsia" w:ascii="宋体" w:hAnsi="宋体" w:cs="宋体"/>
        </w:rPr>
        <w:t>7、比选地点：</w:t>
      </w:r>
      <w:r>
        <w:rPr>
          <w:rFonts w:hint="eastAsia" w:ascii="宋体" w:hAnsi="宋体" w:cs="宋体"/>
          <w:snapToGrid w:val="0"/>
        </w:rPr>
        <w:t>重庆咨询大厦开标大厅，</w:t>
      </w:r>
      <w:r>
        <w:rPr>
          <w:rFonts w:hint="eastAsia" w:ascii="宋体" w:hAnsi="宋体" w:cs="宋体"/>
          <w:snapToGrid w:val="0"/>
          <w:kern w:val="0"/>
        </w:rPr>
        <w:t>具体详见竞选当天重咨大厦负一楼大厅指示牌</w:t>
      </w:r>
      <w:r>
        <w:rPr>
          <w:rFonts w:hint="eastAsia" w:ascii="宋体" w:hAnsi="宋体" w:cs="宋体"/>
        </w:rPr>
        <w:t>。</w:t>
      </w:r>
    </w:p>
    <w:p>
      <w:pPr>
        <w:spacing w:line="360" w:lineRule="auto"/>
        <w:ind w:firstLine="420" w:firstLineChars="200"/>
        <w:rPr>
          <w:rFonts w:ascii="宋体"/>
        </w:rPr>
      </w:pPr>
      <w:r>
        <w:rPr>
          <w:rFonts w:hint="eastAsia" w:ascii="宋体" w:hAnsi="宋体" w:cs="宋体"/>
        </w:rPr>
        <w:t>比选截止时间：2024年</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23</w:t>
      </w:r>
      <w:r>
        <w:rPr>
          <w:rFonts w:hint="eastAsia" w:ascii="宋体" w:hAnsi="宋体" w:cs="宋体"/>
        </w:rPr>
        <w:t>日10：00（提前30分钟接收比选申请文件），</w:t>
      </w:r>
      <w:r>
        <w:rPr>
          <w:rFonts w:hint="eastAsia" w:ascii="宋体" w:hAnsi="宋体" w:cs="宋体"/>
          <w:snapToGrid w:val="0"/>
          <w:kern w:val="0"/>
        </w:rPr>
        <w:t>逾期送达的或者未送达指定地点的比选申请文件，比选人不予受理</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8、发布媒介：本次比选公告同时在《中国招标投标公共服务平台（http://www.cebpubservice.com）》、《重庆国际投资咨询集团有限公司网（www.cqiic.com）》和</w:t>
      </w:r>
      <w:r>
        <w:rPr>
          <w:rFonts w:hint="eastAsia" w:ascii="宋体" w:hAnsi="宋体" w:cs="宋体"/>
          <w:lang w:eastAsia="zh-CN"/>
        </w:rPr>
        <w:t>《</w:t>
      </w:r>
      <w:r>
        <w:rPr>
          <w:rFonts w:hint="eastAsia" w:ascii="宋体" w:hAnsi="宋体" w:cs="宋体"/>
        </w:rPr>
        <w:t>咨采平台（</w:t>
      </w:r>
      <w:r>
        <w:rPr>
          <w:rFonts w:hint="eastAsia" w:ascii="宋体" w:hAnsi="宋体" w:cs="宋体"/>
          <w:lang w:val="en-US" w:eastAsia="zh-CN"/>
        </w:rPr>
        <w:t>http://</w:t>
      </w:r>
      <w:r>
        <w:rPr>
          <w:rFonts w:hint="eastAsia" w:ascii="宋体" w:hAnsi="宋体" w:cs="宋体"/>
        </w:rPr>
        <w:t>www.zicaipingtai.com）</w:t>
      </w:r>
      <w:r>
        <w:rPr>
          <w:rFonts w:hint="eastAsia" w:ascii="宋体" w:hAnsi="宋体" w:cs="宋体"/>
          <w:lang w:eastAsia="zh-CN"/>
        </w:rPr>
        <w:t>》</w:t>
      </w:r>
      <w:r>
        <w:rPr>
          <w:rFonts w:hint="eastAsia" w:ascii="宋体" w:hAnsi="宋体" w:cs="宋体"/>
        </w:rPr>
        <w:t>上发布。</w:t>
      </w:r>
    </w:p>
    <w:p>
      <w:pPr>
        <w:spacing w:line="360" w:lineRule="auto"/>
        <w:rPr>
          <w:rFonts w:ascii="宋体"/>
        </w:rPr>
      </w:pPr>
      <w:r>
        <w:rPr>
          <w:rFonts w:hint="eastAsia" w:ascii="宋体" w:hAnsi="宋体" w:cs="宋体"/>
        </w:rPr>
        <w:t>9、联系方式：</w:t>
      </w:r>
    </w:p>
    <w:p>
      <w:pPr>
        <w:spacing w:line="360" w:lineRule="auto"/>
        <w:rPr>
          <w:rFonts w:ascii="宋体" w:hAnsi="宋体" w:cs="宋体"/>
        </w:rPr>
      </w:pPr>
      <w:r>
        <w:rPr>
          <w:rFonts w:hint="eastAsia" w:ascii="宋体" w:hAnsi="宋体" w:cs="宋体"/>
          <w:lang w:val="en-US" w:eastAsia="zh-CN"/>
        </w:rPr>
        <w:t>比 选</w:t>
      </w:r>
      <w:r>
        <w:rPr>
          <w:rFonts w:hint="eastAsia" w:ascii="宋体" w:hAnsi="宋体" w:cs="宋体"/>
        </w:rPr>
        <w:t xml:space="preserve"> 人：重庆国际投资咨询集团有限公司</w:t>
      </w:r>
    </w:p>
    <w:p>
      <w:pPr>
        <w:spacing w:line="360" w:lineRule="auto"/>
        <w:rPr>
          <w:rFonts w:ascii="宋体" w:hAnsi="宋体" w:cs="宋体"/>
        </w:rPr>
      </w:pPr>
      <w:r>
        <w:rPr>
          <w:rFonts w:hint="eastAsia" w:ascii="宋体" w:hAnsi="宋体" w:cs="宋体"/>
        </w:rPr>
        <w:t>地    址：重庆市江北区五里店五简路2号重咨大厦</w:t>
      </w:r>
    </w:p>
    <w:p>
      <w:pPr>
        <w:spacing w:line="360" w:lineRule="auto"/>
        <w:rPr>
          <w:rFonts w:hint="eastAsia" w:ascii="宋体" w:hAnsi="宋体" w:eastAsia="宋体" w:cs="宋体"/>
          <w:lang w:eastAsia="zh-CN"/>
        </w:rPr>
      </w:pPr>
      <w:r>
        <w:rPr>
          <w:rFonts w:hint="eastAsia" w:ascii="宋体" w:hAnsi="宋体" w:cs="宋体"/>
        </w:rPr>
        <w:t>联 系 人：</w:t>
      </w:r>
      <w:r>
        <w:rPr>
          <w:rFonts w:hint="eastAsia" w:ascii="宋体" w:hAnsi="宋体" w:cs="宋体"/>
          <w:lang w:val="en-US" w:eastAsia="zh-CN"/>
        </w:rPr>
        <w:t>张老师</w:t>
      </w:r>
    </w:p>
    <w:p>
      <w:pPr>
        <w:spacing w:line="360" w:lineRule="auto"/>
        <w:rPr>
          <w:rFonts w:hint="default" w:ascii="宋体" w:hAnsi="宋体" w:eastAsia="宋体" w:cs="宋体"/>
          <w:lang w:val="en-US" w:eastAsia="zh-CN"/>
        </w:rPr>
      </w:pPr>
      <w:r>
        <w:rPr>
          <w:rFonts w:hint="eastAsia" w:ascii="宋体" w:hAnsi="宋体" w:cs="宋体"/>
        </w:rPr>
        <w:t>电    话：</w:t>
      </w:r>
      <w:r>
        <w:rPr>
          <w:rFonts w:hint="eastAsia" w:ascii="宋体" w:hAnsi="宋体" w:cs="宋体"/>
          <w:lang w:val="en-US" w:eastAsia="zh-CN"/>
        </w:rPr>
        <w:t>023-67744081</w:t>
      </w:r>
    </w:p>
    <w:p>
      <w:pPr>
        <w:pStyle w:val="2"/>
      </w:pPr>
    </w:p>
    <w:p>
      <w:pPr>
        <w:spacing w:line="360" w:lineRule="auto"/>
        <w:rPr>
          <w:rFonts w:ascii="宋体"/>
        </w:rPr>
      </w:pPr>
      <w:r>
        <w:rPr>
          <w:rFonts w:hint="eastAsia" w:ascii="宋体" w:hAnsi="宋体" w:cs="宋体"/>
        </w:rPr>
        <w:t>代理机构：重庆招标采购（集团）有限责任公司</w:t>
      </w:r>
    </w:p>
    <w:p>
      <w:pPr>
        <w:spacing w:line="360" w:lineRule="auto"/>
        <w:rPr>
          <w:rFonts w:ascii="宋体"/>
        </w:rPr>
      </w:pPr>
      <w:r>
        <w:rPr>
          <w:rFonts w:hint="eastAsia" w:ascii="宋体" w:hAnsi="宋体" w:cs="宋体"/>
        </w:rPr>
        <w:t>地址：重庆市江北区五里店五简路</w:t>
      </w:r>
      <w:r>
        <w:rPr>
          <w:rFonts w:ascii="宋体" w:hAnsi="宋体" w:cs="宋体"/>
        </w:rPr>
        <w:t>2</w:t>
      </w:r>
      <w:r>
        <w:rPr>
          <w:rFonts w:hint="eastAsia" w:ascii="宋体" w:hAnsi="宋体" w:cs="宋体"/>
        </w:rPr>
        <w:t>号重庆咨询大厦</w:t>
      </w:r>
    </w:p>
    <w:p>
      <w:pPr>
        <w:spacing w:line="360" w:lineRule="auto"/>
        <w:rPr>
          <w:rFonts w:hint="eastAsia" w:ascii="宋体" w:eastAsia="宋体"/>
          <w:lang w:eastAsia="zh-CN"/>
        </w:rPr>
      </w:pPr>
      <w:r>
        <w:rPr>
          <w:rFonts w:hint="eastAsia" w:ascii="宋体" w:hAnsi="宋体" w:cs="宋体"/>
        </w:rPr>
        <w:t>联系人：</w:t>
      </w:r>
      <w:r>
        <w:rPr>
          <w:rFonts w:hint="eastAsia" w:ascii="宋体" w:hAnsi="宋体" w:cs="宋体"/>
          <w:lang w:val="en-US" w:eastAsia="zh-CN"/>
        </w:rPr>
        <w:t>王老师</w:t>
      </w:r>
    </w:p>
    <w:p>
      <w:pPr>
        <w:spacing w:line="360" w:lineRule="auto"/>
        <w:rPr>
          <w:rFonts w:hint="default" w:ascii="宋体" w:eastAsia="宋体"/>
          <w:lang w:val="en-US" w:eastAsia="zh-CN"/>
        </w:rPr>
      </w:pPr>
      <w:r>
        <w:rPr>
          <w:rFonts w:hint="eastAsia" w:ascii="宋体" w:hAnsi="宋体" w:cs="宋体"/>
        </w:rPr>
        <w:t>电话：</w:t>
      </w:r>
      <w:r>
        <w:rPr>
          <w:rFonts w:hint="eastAsia" w:ascii="宋体" w:hAnsi="宋体" w:cs="宋体"/>
          <w:lang w:val="en-US" w:eastAsia="zh-CN"/>
        </w:rPr>
        <w:t>023-67100375</w:t>
      </w:r>
    </w:p>
    <w:bookmarkEnd w:id="81"/>
    <w:p>
      <w:pPr>
        <w:spacing w:line="360" w:lineRule="auto"/>
        <w:ind w:firstLine="470" w:firstLineChars="224"/>
        <w:jc w:val="center"/>
        <w:outlineLvl w:val="0"/>
        <w:rPr>
          <w:rFonts w:ascii="宋体"/>
          <w:sz w:val="28"/>
          <w:szCs w:val="28"/>
        </w:rPr>
      </w:pPr>
      <w:r>
        <w:rPr>
          <w:rFonts w:ascii="宋体"/>
        </w:rPr>
        <w:br w:type="page"/>
      </w:r>
      <w:bookmarkStart w:id="3" w:name="_Toc120633465"/>
      <w:r>
        <w:rPr>
          <w:rFonts w:hint="eastAsia" w:ascii="宋体" w:hAnsi="宋体" w:cs="宋体"/>
          <w:sz w:val="28"/>
          <w:szCs w:val="28"/>
        </w:rPr>
        <w:t>第二部分  比选须知</w:t>
      </w:r>
      <w:bookmarkEnd w:id="3"/>
    </w:p>
    <w:p>
      <w:pPr>
        <w:tabs>
          <w:tab w:val="left" w:pos="1800"/>
        </w:tabs>
        <w:spacing w:line="360" w:lineRule="auto"/>
        <w:ind w:right="-874" w:rightChars="-416"/>
        <w:outlineLvl w:val="1"/>
        <w:rPr>
          <w:rFonts w:ascii="宋体" w:hAnsi="宋体" w:cs="宋体"/>
          <w:b/>
          <w:bCs/>
          <w:u w:val="single"/>
        </w:rPr>
      </w:pPr>
      <w:bookmarkStart w:id="4" w:name="_Toc32630"/>
      <w:bookmarkStart w:id="5" w:name="_Toc28329"/>
      <w:bookmarkStart w:id="6" w:name="_Toc120633466"/>
      <w:r>
        <w:rPr>
          <w:rFonts w:hint="eastAsia" w:ascii="宋体" w:hAnsi="宋体" w:cs="宋体"/>
          <w:b/>
          <w:bCs/>
        </w:rPr>
        <w:t>一、项目名称：</w:t>
      </w:r>
      <w:bookmarkEnd w:id="4"/>
      <w:bookmarkEnd w:id="5"/>
      <w:bookmarkEnd w:id="6"/>
      <w:bookmarkStart w:id="7" w:name="_Toc5888"/>
      <w:bookmarkStart w:id="8" w:name="_Toc27802"/>
      <w:r>
        <w:rPr>
          <w:rFonts w:hint="eastAsia" w:ascii="宋体" w:hAnsi="宋体" w:cs="宋体"/>
          <w:b/>
          <w:bCs/>
        </w:rPr>
        <w:t>2024年补充医疗保险项目采购</w:t>
      </w:r>
    </w:p>
    <w:p>
      <w:pPr>
        <w:tabs>
          <w:tab w:val="left" w:pos="1800"/>
        </w:tabs>
        <w:spacing w:line="360" w:lineRule="auto"/>
        <w:ind w:right="-874" w:rightChars="-416"/>
        <w:outlineLvl w:val="1"/>
        <w:rPr>
          <w:rFonts w:ascii="宋体"/>
          <w:b/>
          <w:bCs/>
        </w:rPr>
      </w:pPr>
      <w:bookmarkStart w:id="9" w:name="_Toc120633467"/>
      <w:r>
        <w:rPr>
          <w:rFonts w:hint="eastAsia" w:ascii="宋体" w:hAnsi="宋体" w:cs="宋体"/>
          <w:b/>
          <w:bCs/>
        </w:rPr>
        <w:t>二、比选申请人资格要求：</w:t>
      </w:r>
      <w:bookmarkEnd w:id="7"/>
      <w:bookmarkEnd w:id="8"/>
      <w:bookmarkEnd w:id="9"/>
    </w:p>
    <w:p>
      <w:pPr>
        <w:tabs>
          <w:tab w:val="left" w:pos="360"/>
        </w:tabs>
        <w:adjustRightInd w:val="0"/>
        <w:snapToGrid w:val="0"/>
        <w:spacing w:line="360" w:lineRule="auto"/>
        <w:ind w:left="630" w:leftChars="200" w:hanging="210" w:hangingChars="100"/>
        <w:rPr>
          <w:rFonts w:ascii="宋体" w:hAnsi="宋体" w:cs="宋体"/>
        </w:rPr>
      </w:pPr>
      <w:bookmarkStart w:id="10" w:name="_Toc120633472"/>
      <w:bookmarkStart w:id="11" w:name="_Toc2986"/>
      <w:bookmarkStart w:id="12" w:name="_Toc28087"/>
      <w:r>
        <w:rPr>
          <w:rFonts w:hint="eastAsia" w:ascii="宋体" w:hAnsi="宋体" w:cs="宋体"/>
        </w:rPr>
        <w:t>（1）比选申请人须具有独立法人资格或为经总公司唯一授权的省级（或直辖市）分公司，并具有有效的营业执照；</w:t>
      </w:r>
    </w:p>
    <w:p>
      <w:pPr>
        <w:tabs>
          <w:tab w:val="left" w:pos="360"/>
        </w:tabs>
        <w:adjustRightInd w:val="0"/>
        <w:snapToGrid w:val="0"/>
        <w:spacing w:line="360" w:lineRule="auto"/>
        <w:ind w:left="630" w:leftChars="300"/>
      </w:pPr>
      <w:r>
        <w:rPr>
          <w:rFonts w:hint="eastAsia" w:ascii="宋体" w:hAnsi="宋体" w:cs="宋体"/>
        </w:rPr>
        <w:t>[提供有效营业执照复印件并加盖比选申请人公章，若为被授权分公司，</w:t>
      </w:r>
      <w:r>
        <w:rPr>
          <w:rFonts w:hint="eastAsia" w:ascii="宋体" w:hAnsi="宋体" w:cs="宋体"/>
          <w:shd w:val="clear" w:color="auto" w:fill="FFFFFF"/>
        </w:rPr>
        <w:t>须提供授权书复印件（格式自拟）并加盖比选申请人公章</w:t>
      </w:r>
      <w:r>
        <w:rPr>
          <w:rFonts w:hint="eastAsia" w:ascii="宋体" w:hAnsi="宋体" w:cs="宋体"/>
        </w:rPr>
        <w:t>]</w:t>
      </w:r>
    </w:p>
    <w:p>
      <w:pPr>
        <w:spacing w:line="360" w:lineRule="auto"/>
        <w:ind w:left="420" w:leftChars="200"/>
        <w:rPr>
          <w:rFonts w:ascii="宋体" w:hAnsi="宋体" w:cs="宋体"/>
        </w:rPr>
      </w:pPr>
      <w:r>
        <w:rPr>
          <w:rFonts w:hint="eastAsia" w:ascii="宋体" w:hAnsi="宋体" w:cs="宋体"/>
        </w:rPr>
        <w:t>（2）比选申请人（或其总公司）具有中国保险监督管理委员会或中国银行保险监督管理委员会核发的《经营保险业务许可证》；</w:t>
      </w:r>
    </w:p>
    <w:p>
      <w:pPr>
        <w:spacing w:line="360" w:lineRule="auto"/>
        <w:ind w:left="420" w:leftChars="200" w:firstLine="210" w:firstLineChars="100"/>
        <w:rPr>
          <w:rFonts w:ascii="宋体" w:hAnsi="宋体" w:cs="宋体"/>
          <w:shd w:val="clear" w:color="auto" w:fill="FFFFFF"/>
        </w:rPr>
      </w:pPr>
      <w:r>
        <w:rPr>
          <w:rFonts w:hint="eastAsia" w:ascii="宋体" w:hAnsi="宋体" w:cs="宋体"/>
        </w:rPr>
        <w:t>[提供《经营保险业务许可证》复印件并加盖比选申请人公章]</w:t>
      </w:r>
      <w:r>
        <w:rPr>
          <w:rFonts w:hint="eastAsia" w:ascii="宋体" w:hAnsi="宋体" w:cs="宋体"/>
        </w:rPr>
        <w:br w:type="textWrapping"/>
      </w:r>
      <w:r>
        <w:rPr>
          <w:rFonts w:hint="eastAsia" w:ascii="宋体" w:hAnsi="宋体" w:cs="宋体"/>
        </w:rPr>
        <w:t>（3）2023年01月01日至比选截止日止，比选申请人未被列入“信用中国”网站“失信被执行人”或“重大税收违法失信主体”</w:t>
      </w:r>
      <w:r>
        <w:rPr>
          <w:rFonts w:hint="eastAsia" w:ascii="宋体" w:hAnsi="宋体" w:cs="宋体"/>
          <w:shd w:val="clear" w:color="auto" w:fill="FFFFFF"/>
        </w:rPr>
        <w:t>；</w:t>
      </w:r>
    </w:p>
    <w:p>
      <w:pPr>
        <w:spacing w:line="360" w:lineRule="auto"/>
        <w:ind w:left="420" w:leftChars="200" w:firstLine="210" w:firstLineChars="100"/>
        <w:rPr>
          <w:rFonts w:ascii="宋体" w:hAnsi="宋体" w:cs="宋体"/>
        </w:rPr>
      </w:pPr>
      <w:r>
        <w:rPr>
          <w:rFonts w:hint="eastAsia" w:ascii="宋体" w:hAnsi="宋体" w:cs="宋体"/>
          <w:shd w:val="clear" w:color="auto" w:fill="FFFFFF"/>
        </w:rPr>
        <w:t>[比选申请人自行承诺，并提供网页截图，承诺格式自拟，并加盖比选申请人公章]</w:t>
      </w:r>
    </w:p>
    <w:p>
      <w:pPr>
        <w:numPr>
          <w:ilvl w:val="0"/>
          <w:numId w:val="2"/>
        </w:numPr>
        <w:spacing w:line="360" w:lineRule="auto"/>
        <w:ind w:firstLine="420" w:firstLineChars="200"/>
        <w:rPr>
          <w:rFonts w:ascii="宋体" w:hAnsi="宋体" w:cs="宋体"/>
        </w:rPr>
      </w:pPr>
      <w:r>
        <w:rPr>
          <w:rFonts w:hint="eastAsia" w:ascii="宋体" w:hAnsi="宋体" w:cs="宋体"/>
        </w:rPr>
        <w:t>法定代表人为同一个人的两个及两个以上法人，母公司、全资子公司及其控股公司，存在控股、管理关系的不同单位，都不得在同一必选项目中同时参与竞选，否则均为无效响应；</w:t>
      </w:r>
    </w:p>
    <w:p>
      <w:pPr>
        <w:numPr>
          <w:ilvl w:val="0"/>
          <w:numId w:val="2"/>
        </w:numPr>
        <w:spacing w:line="360" w:lineRule="auto"/>
        <w:ind w:firstLine="420" w:firstLineChars="200"/>
      </w:pPr>
      <w:r>
        <w:rPr>
          <w:rFonts w:hint="eastAsia" w:ascii="宋体" w:hAnsi="宋体" w:cs="宋体"/>
        </w:rPr>
        <w:t>本次比选不接受联合体竞选。</w:t>
      </w:r>
    </w:p>
    <w:p>
      <w:pPr>
        <w:tabs>
          <w:tab w:val="left" w:pos="1800"/>
        </w:tabs>
        <w:spacing w:line="360" w:lineRule="auto"/>
        <w:ind w:right="-874" w:rightChars="-416"/>
        <w:outlineLvl w:val="1"/>
        <w:rPr>
          <w:rFonts w:ascii="宋体" w:hAnsi="宋体" w:cs="宋体"/>
          <w:b/>
          <w:bCs/>
        </w:rPr>
      </w:pPr>
      <w:r>
        <w:rPr>
          <w:rFonts w:hint="eastAsia" w:ascii="宋体" w:hAnsi="宋体" w:cs="宋体"/>
          <w:b/>
          <w:bCs/>
        </w:rPr>
        <w:t>三、比选限价、报价、评分说明</w:t>
      </w:r>
      <w:r>
        <w:rPr>
          <w:rFonts w:ascii="宋体" w:hAnsi="宋体" w:cs="宋体"/>
          <w:b/>
          <w:bCs/>
        </w:rPr>
        <w:t>:</w:t>
      </w:r>
      <w:bookmarkEnd w:id="10"/>
      <w:bookmarkEnd w:id="11"/>
      <w:bookmarkEnd w:id="12"/>
    </w:p>
    <w:p>
      <w:pPr>
        <w:adjustRightInd w:val="0"/>
        <w:snapToGrid w:val="0"/>
        <w:spacing w:line="360" w:lineRule="auto"/>
        <w:ind w:firstLine="420" w:firstLineChars="200"/>
        <w:rPr>
          <w:rFonts w:ascii="宋体" w:hAnsi="宋体" w:cs="宋体"/>
        </w:rPr>
      </w:pPr>
      <w:r>
        <w:rPr>
          <w:rFonts w:hint="eastAsia" w:ascii="宋体" w:hAnsi="宋体" w:cs="宋体"/>
        </w:rPr>
        <w:t>1、本项目报价包含以下两部分：</w:t>
      </w:r>
    </w:p>
    <w:p>
      <w:pPr>
        <w:adjustRightInd w:val="0"/>
        <w:snapToGrid w:val="0"/>
        <w:spacing w:line="360" w:lineRule="auto"/>
        <w:ind w:firstLine="420" w:firstLineChars="200"/>
      </w:pPr>
      <w:r>
        <w:rPr>
          <w:rFonts w:hint="eastAsia"/>
        </w:rPr>
        <w:t>（1）商业团体补充医疗保险保费报价：比选申请人应对住院医疗保险、住院津贴、重大疾病医疗保险及配套服务，进行整体方案报价。在职职工保费单价每年不高于2000元/人；退休职工保费单价每年不高于3600元/人。比选申请人的单价不得高于最高限价，否则作否决竞选处理。</w:t>
      </w:r>
    </w:p>
    <w:p>
      <w:pPr>
        <w:adjustRightInd w:val="0"/>
        <w:snapToGrid w:val="0"/>
        <w:spacing w:line="360" w:lineRule="auto"/>
        <w:ind w:firstLine="420" w:firstLineChars="200"/>
      </w:pPr>
      <w:r>
        <w:rPr>
          <w:rFonts w:hint="eastAsia"/>
        </w:rPr>
        <w:t>（2）健康保障委托管理费费率：比选申请人的报价范围为结合市场行情、企业自身实力和管理水平，根据保险法律法规和规范性文件允许的管理费率的相关规定作为基础对新增资金管理服务费报收费比例。（资金只收取一次管理服务费，年末比选人不要求退回的，次年不再另行收取管理服务费；比选人年末要求将结余资金退回次年重新划拨的，视同为新增资金，按中标管理服务费费率收取管理服务费。）</w:t>
      </w:r>
    </w:p>
    <w:p>
      <w:pPr>
        <w:adjustRightInd w:val="0"/>
        <w:snapToGrid w:val="0"/>
        <w:spacing w:line="360" w:lineRule="auto"/>
        <w:ind w:firstLine="420" w:firstLineChars="200"/>
      </w:pPr>
      <w:r>
        <w:rPr>
          <w:rFonts w:hint="eastAsia"/>
        </w:rPr>
        <w:t>最高费率限额为2.5%，比选申请人的此部分报价不得高于最高费率限额，否则作否决竞选处理。结算时以健康保障委托管理服务资金*比选申请人的健康保障委托管理费费率即为健康保障委托管理费的最终结算价。</w:t>
      </w:r>
    </w:p>
    <w:p>
      <w:pPr>
        <w:adjustRightInd w:val="0"/>
        <w:snapToGrid w:val="0"/>
        <w:spacing w:line="360" w:lineRule="auto"/>
        <w:ind w:firstLine="420" w:firstLineChars="200"/>
        <w:rPr>
          <w:b/>
          <w:bCs/>
        </w:rPr>
      </w:pPr>
      <w:r>
        <w:rPr>
          <w:rFonts w:hint="eastAsia"/>
        </w:rPr>
        <w:t xml:space="preserve"> </w:t>
      </w:r>
      <w:r>
        <w:rPr>
          <w:rFonts w:hint="eastAsia"/>
          <w:b/>
          <w:bCs/>
        </w:rPr>
        <w:t xml:space="preserve">特别说明：2024年补充医疗保险项目采购预算276万元减去商业团体补充医疗保险保费与健康保障委托管理费，即为健康保障委托管理服务资金金额。 </w:t>
      </w:r>
    </w:p>
    <w:p>
      <w:pPr>
        <w:tabs>
          <w:tab w:val="left" w:pos="1800"/>
        </w:tabs>
        <w:spacing w:line="360" w:lineRule="auto"/>
        <w:ind w:right="-874" w:rightChars="-416" w:firstLine="420" w:firstLineChars="200"/>
        <w:outlineLvl w:val="1"/>
        <w:rPr>
          <w:rFonts w:ascii="宋体" w:hAnsi="宋体" w:cs="宋体"/>
          <w:bCs/>
        </w:rPr>
      </w:pPr>
      <w:bookmarkStart w:id="13" w:name="_Toc25906"/>
      <w:bookmarkStart w:id="14" w:name="_Toc120633473"/>
      <w:r>
        <w:rPr>
          <w:rFonts w:hint="eastAsia" w:ascii="宋体" w:hAnsi="宋体" w:cs="宋体"/>
        </w:rPr>
        <w:t>2、</w:t>
      </w:r>
      <w:bookmarkEnd w:id="13"/>
      <w:r>
        <w:rPr>
          <w:rFonts w:hint="eastAsia" w:ascii="宋体" w:hAnsi="宋体" w:cs="宋体"/>
        </w:rPr>
        <w:t>比选申请人结合自身实际情况自主报价，</w:t>
      </w:r>
      <w:r>
        <w:rPr>
          <w:rFonts w:hint="eastAsia" w:ascii="宋体" w:hAnsi="宋体" w:cs="宋体"/>
          <w:bCs/>
        </w:rPr>
        <w:t>项目报价为完成所要求服务的所有价格，应包含完成项目所需的人工费用、管理费及所有相关费用等。</w:t>
      </w:r>
    </w:p>
    <w:bookmarkEnd w:id="14"/>
    <w:p>
      <w:pPr>
        <w:snapToGrid w:val="0"/>
        <w:spacing w:line="360" w:lineRule="auto"/>
        <w:ind w:firstLine="420" w:firstLineChars="200"/>
      </w:pPr>
      <w:r>
        <w:rPr>
          <w:rFonts w:hint="eastAsia"/>
        </w:rPr>
        <w:t>3</w:t>
      </w:r>
      <w:r>
        <w:rPr>
          <w:rFonts w:hint="eastAsia" w:ascii="宋体" w:hAnsi="宋体" w:cs="宋体"/>
        </w:rPr>
        <w:t>、评分说明：采用综合评估法。</w:t>
      </w:r>
    </w:p>
    <w:p>
      <w:pPr>
        <w:snapToGrid w:val="0"/>
        <w:spacing w:line="360" w:lineRule="auto"/>
        <w:ind w:firstLine="422" w:firstLineChars="200"/>
        <w:outlineLvl w:val="1"/>
        <w:rPr>
          <w:rFonts w:ascii="宋体" w:hAnsi="宋体" w:cs="宋体"/>
        </w:rPr>
      </w:pPr>
      <w:bookmarkStart w:id="15" w:name="_Toc9356"/>
      <w:bookmarkStart w:id="16" w:name="_Toc120633475"/>
      <w:bookmarkStart w:id="17" w:name="_Toc3791"/>
      <w:r>
        <w:rPr>
          <w:rFonts w:hint="eastAsia" w:ascii="宋体" w:hAnsi="宋体" w:cs="宋体"/>
          <w:b/>
          <w:bCs/>
        </w:rPr>
        <w:t>四、结算方式：</w:t>
      </w:r>
      <w:r>
        <w:rPr>
          <w:rFonts w:hint="eastAsia" w:ascii="宋体" w:hAnsi="宋体" w:cs="宋体"/>
        </w:rPr>
        <w:t>采购完成后，一次性向中选人支付2024年度保费。</w:t>
      </w:r>
      <w:bookmarkEnd w:id="15"/>
      <w:bookmarkEnd w:id="16"/>
      <w:bookmarkEnd w:id="17"/>
    </w:p>
    <w:p>
      <w:pPr>
        <w:snapToGrid w:val="0"/>
        <w:spacing w:line="360" w:lineRule="auto"/>
        <w:ind w:firstLine="422" w:firstLineChars="200"/>
        <w:outlineLvl w:val="1"/>
        <w:rPr>
          <w:rFonts w:ascii="宋体" w:hAnsi="宋体" w:cs="宋体"/>
          <w:b/>
          <w:bCs/>
        </w:rPr>
      </w:pPr>
      <w:r>
        <w:rPr>
          <w:rFonts w:hint="eastAsia" w:ascii="宋体" w:hAnsi="宋体" w:cs="宋体"/>
          <w:b/>
          <w:bCs/>
        </w:rPr>
        <w:t>五、履约保证金：</w:t>
      </w:r>
    </w:p>
    <w:p>
      <w:pPr>
        <w:pStyle w:val="4"/>
        <w:spacing w:before="156" w:after="156" w:line="360" w:lineRule="auto"/>
        <w:ind w:firstLine="420" w:firstLineChars="200"/>
        <w:rPr>
          <w:rFonts w:ascii="宋体" w:hAnsi="宋体" w:cs="宋体"/>
          <w:b w:val="0"/>
          <w:sz w:val="21"/>
          <w:szCs w:val="21"/>
        </w:rPr>
      </w:pPr>
      <w:r>
        <w:rPr>
          <w:rFonts w:hint="eastAsia" w:ascii="宋体" w:hAnsi="宋体" w:cs="宋体"/>
          <w:b w:val="0"/>
          <w:sz w:val="21"/>
          <w:szCs w:val="21"/>
        </w:rPr>
        <w:t>（1）担保形式：现金转账；</w:t>
      </w:r>
    </w:p>
    <w:p>
      <w:pPr>
        <w:pStyle w:val="4"/>
        <w:spacing w:before="156" w:after="156" w:line="360" w:lineRule="auto"/>
        <w:ind w:firstLine="420" w:firstLineChars="200"/>
        <w:rPr>
          <w:rFonts w:ascii="宋体" w:hAnsi="宋体" w:cs="宋体"/>
          <w:b w:val="0"/>
          <w:sz w:val="21"/>
          <w:szCs w:val="21"/>
        </w:rPr>
      </w:pPr>
      <w:r>
        <w:rPr>
          <w:rFonts w:hint="eastAsia" w:ascii="宋体" w:hAnsi="宋体" w:cs="宋体"/>
          <w:b w:val="0"/>
          <w:sz w:val="21"/>
          <w:szCs w:val="21"/>
        </w:rPr>
        <w:t>（2）担保金额：履约担保金额为2024年合同价的3</w:t>
      </w:r>
      <w:r>
        <w:rPr>
          <w:rFonts w:ascii="宋体" w:hAnsi="宋体" w:cs="宋体"/>
          <w:b w:val="0"/>
          <w:sz w:val="21"/>
          <w:szCs w:val="21"/>
        </w:rPr>
        <w:t>%</w:t>
      </w:r>
      <w:r>
        <w:rPr>
          <w:rFonts w:hint="eastAsia" w:ascii="宋体" w:hAnsi="宋体" w:cs="宋体"/>
          <w:b w:val="0"/>
          <w:sz w:val="21"/>
          <w:szCs w:val="21"/>
        </w:rPr>
        <w:t>。</w:t>
      </w:r>
    </w:p>
    <w:p>
      <w:pPr>
        <w:pStyle w:val="4"/>
        <w:spacing w:before="156" w:after="156" w:line="360" w:lineRule="auto"/>
        <w:ind w:firstLine="420" w:firstLineChars="200"/>
        <w:rPr>
          <w:rFonts w:ascii="宋体" w:hAnsi="宋体" w:cs="宋体"/>
          <w:b w:val="0"/>
          <w:sz w:val="21"/>
          <w:szCs w:val="21"/>
        </w:rPr>
      </w:pPr>
      <w:r>
        <w:rPr>
          <w:rFonts w:hint="eastAsia" w:ascii="宋体" w:hAnsi="宋体" w:cs="宋体"/>
          <w:b w:val="0"/>
          <w:sz w:val="21"/>
          <w:szCs w:val="21"/>
        </w:rPr>
        <w:t>（3）履约方式：中选人在收到中标通知书后5个工作日内提交至比选人指定账户；若未按时提交，则视为中</w:t>
      </w:r>
      <w:r>
        <w:rPr>
          <w:rFonts w:hint="eastAsia" w:ascii="宋体" w:hAnsi="宋体" w:cs="宋体"/>
          <w:b w:val="0"/>
          <w:sz w:val="21"/>
          <w:szCs w:val="21"/>
          <w:lang w:val="en-US" w:eastAsia="zh-CN"/>
        </w:rPr>
        <w:t>选</w:t>
      </w:r>
      <w:r>
        <w:rPr>
          <w:rFonts w:hint="eastAsia" w:ascii="宋体" w:hAnsi="宋体" w:cs="宋体"/>
          <w:b w:val="0"/>
          <w:sz w:val="21"/>
          <w:szCs w:val="21"/>
        </w:rPr>
        <w:t>人放弃中标；给比选人造成的损失，中</w:t>
      </w:r>
      <w:r>
        <w:rPr>
          <w:rFonts w:hint="eastAsia" w:ascii="宋体" w:hAnsi="宋体" w:cs="宋体"/>
          <w:b w:val="0"/>
          <w:sz w:val="21"/>
          <w:szCs w:val="21"/>
          <w:lang w:val="en-US" w:eastAsia="zh-CN"/>
        </w:rPr>
        <w:t>选</w:t>
      </w:r>
      <w:r>
        <w:rPr>
          <w:rFonts w:hint="eastAsia" w:ascii="宋体" w:hAnsi="宋体" w:cs="宋体"/>
          <w:b w:val="0"/>
          <w:sz w:val="21"/>
          <w:szCs w:val="21"/>
        </w:rPr>
        <w:t>人应当予以赔偿。</w:t>
      </w:r>
    </w:p>
    <w:p>
      <w:pPr>
        <w:pStyle w:val="4"/>
        <w:spacing w:before="156" w:after="156" w:line="360" w:lineRule="auto"/>
        <w:ind w:firstLine="420" w:firstLineChars="200"/>
        <w:rPr>
          <w:rFonts w:ascii="宋体" w:hAnsi="宋体" w:cs="宋体"/>
          <w:b w:val="0"/>
          <w:sz w:val="21"/>
          <w:szCs w:val="21"/>
        </w:rPr>
      </w:pPr>
      <w:r>
        <w:rPr>
          <w:rFonts w:hint="eastAsia" w:ascii="宋体" w:hAnsi="宋体" w:cs="宋体"/>
          <w:b w:val="0"/>
          <w:sz w:val="21"/>
          <w:szCs w:val="21"/>
        </w:rPr>
        <w:t>（4）履约保证金的退还：服务期限结束后，经比选人验收合格后， 15个工作日内比选人将履约保证金无息退还中</w:t>
      </w:r>
      <w:r>
        <w:rPr>
          <w:rFonts w:hint="eastAsia" w:ascii="宋体" w:hAnsi="宋体" w:cs="宋体"/>
          <w:b w:val="0"/>
          <w:sz w:val="21"/>
          <w:szCs w:val="21"/>
          <w:lang w:val="en-US" w:eastAsia="zh-CN"/>
        </w:rPr>
        <w:t>选</w:t>
      </w:r>
      <w:r>
        <w:rPr>
          <w:rFonts w:hint="eastAsia" w:ascii="宋体" w:hAnsi="宋体" w:cs="宋体"/>
          <w:b w:val="0"/>
          <w:sz w:val="21"/>
          <w:szCs w:val="21"/>
        </w:rPr>
        <w:t>人。</w:t>
      </w:r>
    </w:p>
    <w:p>
      <w:pPr>
        <w:pStyle w:val="4"/>
        <w:spacing w:before="156" w:after="156" w:line="360" w:lineRule="auto"/>
        <w:ind w:firstLine="420" w:firstLineChars="200"/>
        <w:rPr>
          <w:rFonts w:ascii="宋体" w:hAnsi="宋体" w:cs="宋体"/>
          <w:b w:val="0"/>
          <w:sz w:val="21"/>
          <w:szCs w:val="21"/>
        </w:rPr>
      </w:pPr>
      <w:r>
        <w:rPr>
          <w:rFonts w:hint="eastAsia" w:ascii="宋体" w:hAnsi="宋体" w:cs="宋体"/>
          <w:b w:val="0"/>
          <w:sz w:val="21"/>
          <w:szCs w:val="21"/>
        </w:rPr>
        <w:t>（5）履约保证金转账账户：比选人指定账户。</w:t>
      </w:r>
    </w:p>
    <w:p>
      <w:pPr>
        <w:numPr>
          <w:ilvl w:val="0"/>
          <w:numId w:val="3"/>
        </w:numPr>
        <w:snapToGrid w:val="0"/>
        <w:spacing w:line="360" w:lineRule="auto"/>
        <w:outlineLvl w:val="1"/>
        <w:rPr>
          <w:rFonts w:ascii="宋体" w:hAnsi="宋体" w:cs="宋体"/>
        </w:rPr>
      </w:pPr>
      <w:bookmarkStart w:id="18" w:name="_Toc10726"/>
      <w:bookmarkStart w:id="19" w:name="_Toc120633476"/>
      <w:bookmarkStart w:id="20" w:name="_Toc30064"/>
      <w:r>
        <w:rPr>
          <w:rFonts w:hint="eastAsia" w:ascii="宋体" w:hAnsi="宋体" w:cs="宋体"/>
          <w:b/>
          <w:bCs/>
        </w:rPr>
        <w:t>比选有效期：</w:t>
      </w:r>
      <w:r>
        <w:rPr>
          <w:rFonts w:ascii="宋体" w:hAnsi="宋体" w:cs="宋体"/>
          <w:u w:val="single"/>
        </w:rPr>
        <w:t>90</w:t>
      </w:r>
      <w:r>
        <w:rPr>
          <w:rFonts w:hint="eastAsia" w:ascii="宋体" w:hAnsi="宋体" w:cs="宋体"/>
        </w:rPr>
        <w:t>日历天（从提交比选申请文件截止日起计算）</w:t>
      </w:r>
      <w:bookmarkEnd w:id="18"/>
      <w:bookmarkEnd w:id="19"/>
      <w:bookmarkEnd w:id="20"/>
    </w:p>
    <w:p>
      <w:pPr>
        <w:numPr>
          <w:ilvl w:val="0"/>
          <w:numId w:val="3"/>
        </w:numPr>
        <w:snapToGrid w:val="0"/>
        <w:spacing w:line="360" w:lineRule="auto"/>
        <w:outlineLvl w:val="1"/>
        <w:rPr>
          <w:rFonts w:ascii="宋体"/>
        </w:rPr>
      </w:pPr>
      <w:r>
        <w:rPr>
          <w:rFonts w:hint="eastAsia" w:ascii="宋体" w:hAnsi="宋体" w:cs="宋体"/>
        </w:rPr>
        <w:t>评审委员会组成：由比选人依法组建评审委员会。</w:t>
      </w:r>
    </w:p>
    <w:p>
      <w:pPr>
        <w:tabs>
          <w:tab w:val="left" w:pos="1080"/>
        </w:tabs>
        <w:spacing w:line="360" w:lineRule="auto"/>
        <w:outlineLvl w:val="1"/>
        <w:rPr>
          <w:rFonts w:ascii="宋体"/>
          <w:b/>
          <w:bCs/>
        </w:rPr>
      </w:pPr>
      <w:bookmarkStart w:id="21" w:name="_Toc17630"/>
      <w:bookmarkStart w:id="22" w:name="_Toc15441"/>
      <w:bookmarkStart w:id="23" w:name="_Toc120633477"/>
      <w:r>
        <w:rPr>
          <w:rFonts w:hint="eastAsia" w:ascii="宋体" w:hAnsi="宋体" w:cs="宋体"/>
          <w:b/>
          <w:bCs/>
        </w:rPr>
        <w:t>八、比选申请文件的组成：</w:t>
      </w:r>
      <w:bookmarkEnd w:id="21"/>
      <w:bookmarkEnd w:id="22"/>
      <w:bookmarkEnd w:id="23"/>
    </w:p>
    <w:p>
      <w:pPr>
        <w:spacing w:line="360" w:lineRule="auto"/>
        <w:ind w:firstLine="420" w:firstLineChars="200"/>
        <w:rPr>
          <w:rFonts w:ascii="宋体"/>
        </w:rPr>
      </w:pPr>
      <w:r>
        <w:rPr>
          <w:rFonts w:hint="eastAsia" w:ascii="宋体" w:hAnsi="宋体" w:cs="宋体"/>
        </w:rPr>
        <w:t>比选申请函；</w:t>
      </w:r>
    </w:p>
    <w:p>
      <w:pPr>
        <w:spacing w:line="360" w:lineRule="auto"/>
        <w:ind w:firstLine="420" w:firstLineChars="200"/>
        <w:rPr>
          <w:rFonts w:ascii="宋体"/>
        </w:rPr>
      </w:pPr>
      <w:r>
        <w:rPr>
          <w:rFonts w:hint="eastAsia" w:ascii="宋体" w:hAnsi="宋体" w:cs="宋体"/>
        </w:rPr>
        <w:t>法定代表人（或负责人）授权书及法定代表人（或负责人）身份证明；</w:t>
      </w:r>
    </w:p>
    <w:p>
      <w:pPr>
        <w:spacing w:line="360" w:lineRule="auto"/>
        <w:ind w:firstLine="420" w:firstLineChars="200"/>
        <w:rPr>
          <w:rFonts w:ascii="宋体"/>
        </w:rPr>
      </w:pPr>
      <w:r>
        <w:rPr>
          <w:rFonts w:hint="eastAsia" w:ascii="宋体" w:hAnsi="宋体" w:cs="宋体"/>
        </w:rPr>
        <w:t>比选文件规定的其它资料。</w:t>
      </w:r>
    </w:p>
    <w:p>
      <w:pPr>
        <w:pStyle w:val="12"/>
        <w:spacing w:line="360" w:lineRule="auto"/>
        <w:ind w:firstLine="420" w:firstLineChars="200"/>
        <w:rPr>
          <w:rFonts w:cs="Times New Roman"/>
          <w:sz w:val="21"/>
          <w:szCs w:val="21"/>
        </w:rPr>
      </w:pPr>
      <w:r>
        <w:rPr>
          <w:rFonts w:hint="eastAsia"/>
          <w:sz w:val="21"/>
          <w:szCs w:val="21"/>
        </w:rPr>
        <w:t>注意：以上资料应提供复印件并加盖单位公章，否则作否决竞选处理。比选申请文件应提交正本1份，副本1份，正副本分别装订成册，并应编制目录、标注页码，装订后放入一大袋，必须保证比选申请文件密封并在大袋上加盖比选申请人单位公章，否则，比选人对由于比选申请文件装订松散而造成的丢失或其他后果不承担任何责任。未按规定密封的比选申请文件将被拒收。</w:t>
      </w:r>
    </w:p>
    <w:p>
      <w:pPr>
        <w:numPr>
          <w:ilvl w:val="255"/>
          <w:numId w:val="0"/>
        </w:numPr>
        <w:spacing w:line="360" w:lineRule="auto"/>
        <w:rPr>
          <w:rFonts w:ascii="宋体" w:hAnsi="宋体" w:cs="宋体"/>
          <w:b/>
          <w:bCs/>
        </w:rPr>
      </w:pPr>
      <w:r>
        <w:rPr>
          <w:rFonts w:hint="eastAsia" w:ascii="宋体" w:hAnsi="宋体" w:cs="宋体"/>
          <w:b/>
          <w:bCs/>
        </w:rPr>
        <w:t>九、比选原则（综合评估法）：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15"/>
        <w:gridCol w:w="1578"/>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400" w:lineRule="exact"/>
              <w:jc w:val="center"/>
              <w:rPr>
                <w:rFonts w:ascii="宋体" w:hAnsi="宋体" w:cs="宋体"/>
                <w:b/>
                <w:kern w:val="0"/>
              </w:rPr>
            </w:pPr>
            <w:bookmarkStart w:id="24" w:name="CQZH1_07"/>
            <w:r>
              <w:rPr>
                <w:rFonts w:hint="eastAsia" w:ascii="宋体" w:hAnsi="宋体" w:cs="宋体"/>
                <w:b/>
                <w:kern w:val="0"/>
              </w:rPr>
              <w:t>条款号</w:t>
            </w:r>
          </w:p>
        </w:tc>
        <w:tc>
          <w:tcPr>
            <w:tcW w:w="1415" w:type="dxa"/>
            <w:vAlign w:val="center"/>
          </w:tcPr>
          <w:p>
            <w:pPr>
              <w:spacing w:line="400" w:lineRule="exact"/>
              <w:jc w:val="center"/>
              <w:rPr>
                <w:rFonts w:ascii="宋体" w:hAnsi="宋体" w:cs="宋体"/>
                <w:b/>
                <w:kern w:val="0"/>
              </w:rPr>
            </w:pPr>
            <w:r>
              <w:rPr>
                <w:rFonts w:hint="eastAsia" w:ascii="宋体" w:hAnsi="宋体" w:cs="宋体"/>
                <w:b/>
                <w:kern w:val="0"/>
              </w:rPr>
              <w:t>评审因素</w:t>
            </w:r>
          </w:p>
        </w:tc>
        <w:tc>
          <w:tcPr>
            <w:tcW w:w="7229" w:type="dxa"/>
            <w:gridSpan w:val="3"/>
            <w:vAlign w:val="center"/>
          </w:tcPr>
          <w:p>
            <w:pPr>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20" w:type="dxa"/>
            <w:vMerge w:val="restart"/>
            <w:vAlign w:val="center"/>
          </w:tcPr>
          <w:p>
            <w:pPr>
              <w:spacing w:line="400" w:lineRule="exact"/>
              <w:jc w:val="center"/>
              <w:rPr>
                <w:rFonts w:ascii="宋体" w:hAnsi="宋体" w:cs="宋体"/>
                <w:kern w:val="0"/>
              </w:rPr>
            </w:pPr>
            <w:r>
              <w:rPr>
                <w:rFonts w:hint="eastAsia" w:ascii="宋体" w:hAnsi="宋体" w:cs="宋体"/>
                <w:kern w:val="0"/>
              </w:rPr>
              <w:t>2.1.1</w:t>
            </w:r>
          </w:p>
        </w:tc>
        <w:tc>
          <w:tcPr>
            <w:tcW w:w="1415" w:type="dxa"/>
            <w:vMerge w:val="restart"/>
            <w:textDirection w:val="tbRlV"/>
            <w:vAlign w:val="center"/>
          </w:tcPr>
          <w:p>
            <w:pPr>
              <w:spacing w:line="400" w:lineRule="exact"/>
              <w:ind w:left="113" w:right="113"/>
              <w:jc w:val="center"/>
              <w:rPr>
                <w:rFonts w:ascii="宋体" w:hAnsi="宋体" w:cs="宋体"/>
                <w:kern w:val="0"/>
              </w:rPr>
            </w:pPr>
            <w:r>
              <w:rPr>
                <w:rFonts w:hint="eastAsia" w:ascii="宋体" w:hAnsi="宋体" w:cs="宋体"/>
                <w:kern w:val="0"/>
              </w:rPr>
              <w:t>形式评审标准</w:t>
            </w: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比选申请人名称</w:t>
            </w:r>
          </w:p>
        </w:tc>
        <w:tc>
          <w:tcPr>
            <w:tcW w:w="5476" w:type="dxa"/>
            <w:vAlign w:val="center"/>
          </w:tcPr>
          <w:p>
            <w:pPr>
              <w:spacing w:line="360" w:lineRule="auto"/>
              <w:ind w:firstLine="420" w:firstLineChars="200"/>
              <w:rPr>
                <w:rFonts w:ascii="宋体" w:hAnsi="宋体" w:cs="宋体"/>
                <w:kern w:val="0"/>
              </w:rPr>
            </w:pPr>
            <w:r>
              <w:rPr>
                <w:rFonts w:hint="eastAsia" w:ascii="宋体" w:hAnsi="宋体" w:cs="宋体"/>
                <w:kern w:val="0"/>
              </w:rPr>
              <w:t>与营业执照、资质一致，依法变更名称的应提交相应证明材料。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20" w:type="dxa"/>
            <w:vMerge w:val="continue"/>
          </w:tcPr>
          <w:p>
            <w:pPr>
              <w:spacing w:line="400" w:lineRule="exact"/>
              <w:rPr>
                <w:rFonts w:ascii="宋体" w:hAnsi="宋体" w:cs="宋体"/>
              </w:rPr>
            </w:pPr>
          </w:p>
        </w:tc>
        <w:tc>
          <w:tcPr>
            <w:tcW w:w="1415" w:type="dxa"/>
            <w:vMerge w:val="continue"/>
            <w:vAlign w:val="center"/>
          </w:tcPr>
          <w:p>
            <w:pPr>
              <w:spacing w:line="400" w:lineRule="exact"/>
              <w:jc w:val="center"/>
              <w:rPr>
                <w:rFonts w:ascii="宋体" w:hAnsi="宋体" w:cs="宋体"/>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比选申请文件份数</w:t>
            </w:r>
          </w:p>
        </w:tc>
        <w:tc>
          <w:tcPr>
            <w:tcW w:w="5476" w:type="dxa"/>
            <w:vAlign w:val="center"/>
          </w:tcPr>
          <w:p>
            <w:pPr>
              <w:spacing w:line="360" w:lineRule="auto"/>
              <w:ind w:firstLine="420" w:firstLineChars="200"/>
              <w:rPr>
                <w:rFonts w:ascii="宋体" w:hAnsi="宋体" w:cs="宋体"/>
                <w:kern w:val="0"/>
              </w:rPr>
            </w:pPr>
            <w:r>
              <w:rPr>
                <w:rFonts w:hint="eastAsia" w:ascii="宋体" w:hAnsi="宋体" w:cs="宋体"/>
                <w:kern w:val="0"/>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20" w:type="dxa"/>
            <w:vMerge w:val="continue"/>
          </w:tcPr>
          <w:p>
            <w:pPr>
              <w:spacing w:line="400" w:lineRule="exact"/>
              <w:rPr>
                <w:rFonts w:ascii="宋体" w:hAnsi="宋体" w:cs="宋体"/>
              </w:rPr>
            </w:pPr>
          </w:p>
        </w:tc>
        <w:tc>
          <w:tcPr>
            <w:tcW w:w="1415" w:type="dxa"/>
            <w:vMerge w:val="continue"/>
            <w:vAlign w:val="center"/>
          </w:tcPr>
          <w:p>
            <w:pPr>
              <w:spacing w:line="400" w:lineRule="exact"/>
              <w:jc w:val="center"/>
              <w:rPr>
                <w:rFonts w:ascii="宋体" w:hAnsi="宋体" w:cs="宋体"/>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比选申请文件的组成</w:t>
            </w:r>
          </w:p>
        </w:tc>
        <w:tc>
          <w:tcPr>
            <w:tcW w:w="5476" w:type="dxa"/>
            <w:vAlign w:val="center"/>
          </w:tcPr>
          <w:p>
            <w:pPr>
              <w:spacing w:line="360" w:lineRule="auto"/>
              <w:ind w:firstLine="420" w:firstLineChars="200"/>
              <w:rPr>
                <w:rFonts w:ascii="宋体" w:hAnsi="宋体" w:cs="宋体"/>
                <w:kern w:val="0"/>
              </w:rPr>
            </w:pPr>
            <w:r>
              <w:rPr>
                <w:rFonts w:hint="eastAsia" w:ascii="宋体" w:hAnsi="宋体" w:cs="宋体"/>
                <w:kern w:val="0"/>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pPr>
              <w:spacing w:line="400" w:lineRule="exact"/>
              <w:jc w:val="center"/>
              <w:rPr>
                <w:rFonts w:ascii="宋体" w:hAnsi="宋体" w:cs="宋体"/>
                <w:kern w:val="0"/>
              </w:rPr>
            </w:pPr>
            <w:r>
              <w:rPr>
                <w:rFonts w:hint="eastAsia" w:ascii="宋体" w:hAnsi="宋体" w:cs="宋体"/>
                <w:kern w:val="0"/>
              </w:rPr>
              <w:t>2.1.2</w:t>
            </w:r>
          </w:p>
        </w:tc>
        <w:tc>
          <w:tcPr>
            <w:tcW w:w="1415" w:type="dxa"/>
            <w:vMerge w:val="restart"/>
            <w:textDirection w:val="tbRlV"/>
            <w:vAlign w:val="center"/>
          </w:tcPr>
          <w:p>
            <w:pPr>
              <w:spacing w:line="400" w:lineRule="exact"/>
              <w:ind w:left="113" w:right="113"/>
              <w:jc w:val="center"/>
              <w:rPr>
                <w:rFonts w:ascii="宋体" w:hAnsi="宋体" w:cs="宋体"/>
                <w:kern w:val="0"/>
              </w:rPr>
            </w:pPr>
            <w:r>
              <w:rPr>
                <w:rFonts w:hint="eastAsia" w:ascii="宋体" w:hAnsi="宋体" w:cs="宋体"/>
                <w:kern w:val="0"/>
              </w:rPr>
              <w:t>资格评审标准</w:t>
            </w:r>
          </w:p>
        </w:tc>
        <w:tc>
          <w:tcPr>
            <w:tcW w:w="1753" w:type="dxa"/>
            <w:gridSpan w:val="2"/>
            <w:vAlign w:val="center"/>
          </w:tcPr>
          <w:p>
            <w:pPr>
              <w:spacing w:line="360" w:lineRule="auto"/>
              <w:jc w:val="center"/>
              <w:rPr>
                <w:rFonts w:ascii="宋体" w:hAnsi="宋体" w:cs="宋体"/>
                <w:kern w:val="0"/>
              </w:rPr>
            </w:pPr>
            <w:r>
              <w:rPr>
                <w:rFonts w:hint="eastAsia" w:ascii="宋体" w:hAnsi="宋体" w:cs="宋体"/>
              </w:rPr>
              <w:t>营业执照</w:t>
            </w:r>
          </w:p>
        </w:tc>
        <w:tc>
          <w:tcPr>
            <w:tcW w:w="5476" w:type="dxa"/>
            <w:vAlign w:val="center"/>
          </w:tcPr>
          <w:p>
            <w:pPr>
              <w:spacing w:line="360" w:lineRule="auto"/>
              <w:ind w:firstLine="420" w:firstLineChars="200"/>
              <w:rPr>
                <w:rFonts w:ascii="宋体" w:hAnsi="宋体" w:cs="宋体"/>
                <w:kern w:val="0"/>
              </w:rPr>
            </w:pPr>
            <w:r>
              <w:rPr>
                <w:rFonts w:hint="eastAsia" w:ascii="宋体" w:hAnsi="宋体" w:cs="宋体"/>
                <w:kern w:val="0"/>
              </w:rPr>
              <w:t>符合比选文件第二部分比选须知“比选申请人资格要求”规定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rPr>
              <w:t>资格要求</w:t>
            </w:r>
          </w:p>
        </w:tc>
        <w:tc>
          <w:tcPr>
            <w:tcW w:w="5476" w:type="dxa"/>
            <w:vAlign w:val="center"/>
          </w:tcPr>
          <w:p>
            <w:pPr>
              <w:spacing w:line="360" w:lineRule="auto"/>
              <w:ind w:firstLine="420" w:firstLineChars="200"/>
              <w:jc w:val="left"/>
              <w:rPr>
                <w:rFonts w:ascii="宋体" w:hAnsi="宋体" w:cs="宋体"/>
                <w:kern w:val="0"/>
              </w:rPr>
            </w:pPr>
            <w:r>
              <w:rPr>
                <w:rFonts w:hint="eastAsia" w:ascii="宋体" w:hAnsi="宋体" w:cs="宋体"/>
                <w:kern w:val="0"/>
              </w:rPr>
              <w:t>符合比选文件第二部分比选须知“比选申请人资格要求”规定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rPr>
            </w:pPr>
            <w:r>
              <w:rPr>
                <w:rFonts w:hint="eastAsia" w:ascii="宋体" w:hAnsi="宋体" w:cs="宋体"/>
              </w:rPr>
              <w:t>其他要求</w:t>
            </w:r>
          </w:p>
        </w:tc>
        <w:tc>
          <w:tcPr>
            <w:tcW w:w="5476" w:type="dxa"/>
            <w:vAlign w:val="center"/>
          </w:tcPr>
          <w:p>
            <w:pPr>
              <w:spacing w:line="360" w:lineRule="auto"/>
              <w:ind w:firstLine="420" w:firstLineChars="200"/>
              <w:jc w:val="left"/>
              <w:rPr>
                <w:rFonts w:ascii="宋体" w:hAnsi="宋体" w:cs="宋体"/>
                <w:kern w:val="0"/>
              </w:rPr>
            </w:pPr>
            <w:r>
              <w:rPr>
                <w:rFonts w:hint="eastAsia" w:ascii="宋体" w:hAnsi="宋体" w:cs="宋体"/>
                <w:kern w:val="0"/>
              </w:rPr>
              <w:t>符合比选文件第二部分比选须知“比选申请人资格要求”规定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restart"/>
            <w:vAlign w:val="center"/>
          </w:tcPr>
          <w:p>
            <w:pPr>
              <w:spacing w:line="400" w:lineRule="exact"/>
              <w:jc w:val="center"/>
              <w:rPr>
                <w:rFonts w:ascii="宋体" w:hAnsi="宋体" w:cs="宋体"/>
              </w:rPr>
            </w:pPr>
            <w:r>
              <w:rPr>
                <w:rFonts w:hint="eastAsia" w:ascii="宋体" w:hAnsi="宋体" w:cs="宋体"/>
                <w:kern w:val="0"/>
              </w:rPr>
              <w:t>2.1.3</w:t>
            </w:r>
          </w:p>
        </w:tc>
        <w:tc>
          <w:tcPr>
            <w:tcW w:w="1415" w:type="dxa"/>
            <w:vMerge w:val="restart"/>
            <w:textDirection w:val="tbRlV"/>
            <w:vAlign w:val="center"/>
          </w:tcPr>
          <w:p>
            <w:pPr>
              <w:spacing w:line="400" w:lineRule="exact"/>
              <w:ind w:left="113" w:right="113"/>
              <w:jc w:val="center"/>
              <w:rPr>
                <w:rFonts w:ascii="宋体" w:hAnsi="宋体" w:cs="宋体"/>
              </w:rPr>
            </w:pPr>
            <w:r>
              <w:rPr>
                <w:rFonts w:hint="eastAsia" w:ascii="宋体" w:hAnsi="宋体" w:cs="宋体"/>
                <w:kern w:val="0"/>
              </w:rPr>
              <w:t>响应性评审标准</w:t>
            </w: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比选范围</w:t>
            </w:r>
          </w:p>
        </w:tc>
        <w:tc>
          <w:tcPr>
            <w:tcW w:w="5476"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符合比选文件第一部分比选公告第3.1项规定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服务期</w:t>
            </w:r>
          </w:p>
        </w:tc>
        <w:tc>
          <w:tcPr>
            <w:tcW w:w="5476"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符合比选文件第一部分比选公告第4项规定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权利义务</w:t>
            </w:r>
          </w:p>
        </w:tc>
        <w:tc>
          <w:tcPr>
            <w:tcW w:w="5476"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符合</w:t>
            </w:r>
            <w:r>
              <w:rPr>
                <w:rFonts w:hint="eastAsia" w:ascii="宋体" w:cs="宋体"/>
                <w:kern w:val="0"/>
              </w:rPr>
              <w:t>“</w:t>
            </w:r>
            <w:r>
              <w:rPr>
                <w:rFonts w:hint="eastAsia" w:ascii="宋体" w:hAnsi="宋体" w:cs="宋体"/>
                <w:kern w:val="0"/>
              </w:rPr>
              <w:t>合同条款</w:t>
            </w:r>
            <w:r>
              <w:rPr>
                <w:rFonts w:hint="eastAsia" w:ascii="宋体" w:cs="宋体"/>
                <w:kern w:val="0"/>
              </w:rPr>
              <w:t>”</w:t>
            </w:r>
            <w:r>
              <w:rPr>
                <w:rFonts w:hint="eastAsia" w:ascii="宋体" w:hAnsi="宋体" w:cs="宋体"/>
                <w:kern w:val="0"/>
              </w:rPr>
              <w:t>规定，比选申请文件不应附有比选人不能接受的条件。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spacing w:line="400" w:lineRule="exact"/>
              <w:jc w:val="center"/>
              <w:rPr>
                <w:rFonts w:ascii="宋体" w:hAnsi="宋体" w:cs="宋体"/>
              </w:rPr>
            </w:pPr>
          </w:p>
        </w:tc>
        <w:tc>
          <w:tcPr>
            <w:tcW w:w="1415" w:type="dxa"/>
            <w:vMerge w:val="continue"/>
            <w:textDirection w:val="tbRlV"/>
            <w:vAlign w:val="center"/>
          </w:tcPr>
          <w:p>
            <w:pPr>
              <w:spacing w:line="400" w:lineRule="exact"/>
              <w:ind w:left="113" w:right="113"/>
              <w:jc w:val="center"/>
              <w:rPr>
                <w:rFonts w:ascii="宋体" w:hAnsi="宋体" w:cs="宋体"/>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实质性要求</w:t>
            </w:r>
          </w:p>
        </w:tc>
        <w:tc>
          <w:tcPr>
            <w:tcW w:w="5476" w:type="dxa"/>
            <w:vAlign w:val="center"/>
          </w:tcPr>
          <w:p>
            <w:pPr>
              <w:spacing w:after="62" w:afterLines="20" w:line="360" w:lineRule="auto"/>
              <w:ind w:firstLine="420" w:firstLineChars="200"/>
              <w:rPr>
                <w:rFonts w:ascii="宋体"/>
                <w:kern w:val="0"/>
              </w:rPr>
            </w:pPr>
            <w:r>
              <w:rPr>
                <w:rFonts w:hint="eastAsia" w:ascii="宋体" w:hAnsi="宋体" w:cs="宋体"/>
                <w:kern w:val="0"/>
              </w:rPr>
              <w:t>符合比选文件规定。</w:t>
            </w:r>
          </w:p>
          <w:p>
            <w:pPr>
              <w:spacing w:after="62" w:afterLines="20" w:line="360" w:lineRule="auto"/>
              <w:ind w:firstLine="420" w:firstLineChars="200"/>
              <w:rPr>
                <w:rFonts w:ascii="宋体"/>
                <w:kern w:val="0"/>
              </w:rPr>
            </w:pPr>
            <w:r>
              <w:rPr>
                <w:rFonts w:hint="eastAsia" w:ascii="宋体" w:hAnsi="宋体" w:cs="宋体"/>
                <w:kern w:val="0"/>
              </w:rPr>
              <w:t>本次参选不得有串通竞选、弄虚作假等其他违反招竞选相关法律、法规行为。</w:t>
            </w:r>
          </w:p>
          <w:p>
            <w:pPr>
              <w:spacing w:after="62" w:afterLines="20" w:line="360" w:lineRule="auto"/>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spacing w:line="400" w:lineRule="exact"/>
              <w:jc w:val="center"/>
              <w:rPr>
                <w:rFonts w:ascii="宋体" w:hAnsi="宋体" w:cs="宋体"/>
                <w:kern w:val="0"/>
              </w:rPr>
            </w:pPr>
          </w:p>
        </w:tc>
        <w:tc>
          <w:tcPr>
            <w:tcW w:w="1415" w:type="dxa"/>
            <w:vMerge w:val="continue"/>
            <w:textDirection w:val="tbRlV"/>
            <w:vAlign w:val="center"/>
          </w:tcPr>
          <w:p>
            <w:pPr>
              <w:spacing w:line="400" w:lineRule="exact"/>
              <w:ind w:left="113" w:right="113"/>
              <w:jc w:val="center"/>
              <w:rPr>
                <w:rFonts w:ascii="宋体" w:hAnsi="宋体" w:cs="宋体"/>
                <w:kern w:val="0"/>
              </w:rPr>
            </w:pPr>
          </w:p>
        </w:tc>
        <w:tc>
          <w:tcPr>
            <w:tcW w:w="1753" w:type="dxa"/>
            <w:gridSpan w:val="2"/>
            <w:vAlign w:val="center"/>
          </w:tcPr>
          <w:p>
            <w:pPr>
              <w:spacing w:line="360" w:lineRule="auto"/>
              <w:jc w:val="center"/>
              <w:rPr>
                <w:rFonts w:ascii="宋体" w:hAnsi="宋体" w:cs="宋体"/>
                <w:kern w:val="0"/>
              </w:rPr>
            </w:pPr>
            <w:r>
              <w:rPr>
                <w:rFonts w:hint="eastAsia" w:ascii="宋体" w:hAnsi="宋体" w:cs="宋体"/>
                <w:kern w:val="0"/>
              </w:rPr>
              <w:t>比选申请报价</w:t>
            </w:r>
          </w:p>
        </w:tc>
        <w:tc>
          <w:tcPr>
            <w:tcW w:w="5476"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比选申请人的比选申请报价不得超过最高限价。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5" w:type="dxa"/>
            <w:gridSpan w:val="2"/>
            <w:vAlign w:val="center"/>
          </w:tcPr>
          <w:p>
            <w:pPr>
              <w:spacing w:line="400" w:lineRule="exact"/>
              <w:ind w:firstLine="525" w:firstLineChars="250"/>
              <w:rPr>
                <w:rFonts w:ascii="宋体" w:hAnsi="宋体" w:cs="宋体"/>
                <w:kern w:val="0"/>
              </w:rPr>
            </w:pPr>
            <w:r>
              <w:rPr>
                <w:rFonts w:hint="eastAsia" w:ascii="宋体" w:hAnsi="宋体" w:cs="宋体"/>
                <w:kern w:val="0"/>
              </w:rPr>
              <w:t>2.2.1</w:t>
            </w:r>
          </w:p>
        </w:tc>
        <w:tc>
          <w:tcPr>
            <w:tcW w:w="1753" w:type="dxa"/>
            <w:gridSpan w:val="2"/>
            <w:vAlign w:val="center"/>
          </w:tcPr>
          <w:p>
            <w:pPr>
              <w:tabs>
                <w:tab w:val="left" w:pos="1875"/>
              </w:tabs>
              <w:spacing w:line="400" w:lineRule="exact"/>
              <w:jc w:val="center"/>
              <w:rPr>
                <w:rFonts w:ascii="宋体" w:hAnsi="宋体" w:cs="宋体"/>
                <w:kern w:val="0"/>
              </w:rPr>
            </w:pPr>
            <w:r>
              <w:rPr>
                <w:rFonts w:hint="eastAsia" w:ascii="宋体" w:hAnsi="宋体" w:cs="宋体"/>
                <w:kern w:val="0"/>
              </w:rPr>
              <w:t>分值构成</w:t>
            </w:r>
          </w:p>
          <w:p>
            <w:pPr>
              <w:tabs>
                <w:tab w:val="left" w:pos="1875"/>
              </w:tabs>
              <w:spacing w:line="400" w:lineRule="exact"/>
              <w:jc w:val="center"/>
              <w:rPr>
                <w:rFonts w:ascii="宋体" w:hAnsi="宋体" w:cs="宋体"/>
                <w:kern w:val="0"/>
              </w:rPr>
            </w:pPr>
            <w:r>
              <w:rPr>
                <w:rFonts w:hint="eastAsia" w:ascii="宋体" w:hAnsi="宋体" w:cs="宋体"/>
                <w:kern w:val="0"/>
              </w:rPr>
              <w:t>(总分1OO分)</w:t>
            </w:r>
          </w:p>
        </w:tc>
        <w:tc>
          <w:tcPr>
            <w:tcW w:w="5476" w:type="dxa"/>
            <w:vAlign w:val="center"/>
          </w:tcPr>
          <w:p>
            <w:pPr>
              <w:snapToGrid w:val="0"/>
              <w:spacing w:line="400" w:lineRule="exact"/>
              <w:ind w:firstLine="315" w:firstLineChars="150"/>
              <w:rPr>
                <w:rFonts w:ascii="宋体" w:hAnsi="宋体" w:cs="宋体"/>
              </w:rPr>
            </w:pPr>
            <w:r>
              <w:rPr>
                <w:rFonts w:hint="eastAsia" w:ascii="宋体" w:hAnsi="宋体" w:cs="宋体"/>
              </w:rPr>
              <w:t>（1）比选申请报价：</w:t>
            </w:r>
            <w:r>
              <w:rPr>
                <w:rFonts w:hint="eastAsia" w:ascii="宋体" w:hAnsi="宋体" w:cs="宋体"/>
                <w:u w:val="single"/>
              </w:rPr>
              <w:t>45</w:t>
            </w:r>
            <w:r>
              <w:rPr>
                <w:rFonts w:hint="eastAsia" w:ascii="宋体" w:hAnsi="宋体" w:cs="宋体"/>
              </w:rPr>
              <w:t>分；</w:t>
            </w:r>
          </w:p>
          <w:p>
            <w:pPr>
              <w:snapToGrid w:val="0"/>
              <w:spacing w:line="400" w:lineRule="exact"/>
              <w:ind w:firstLine="315" w:firstLineChars="150"/>
              <w:rPr>
                <w:rFonts w:ascii="宋体" w:hAnsi="宋体" w:cs="宋体"/>
              </w:rPr>
            </w:pPr>
            <w:r>
              <w:rPr>
                <w:rFonts w:hint="eastAsia" w:ascii="宋体" w:hAnsi="宋体" w:cs="宋体"/>
              </w:rPr>
              <w:t>（2）商务部分：</w:t>
            </w:r>
            <w:r>
              <w:rPr>
                <w:rFonts w:hint="eastAsia" w:ascii="宋体" w:hAnsi="宋体" w:cs="宋体"/>
                <w:u w:val="single"/>
              </w:rPr>
              <w:t>20</w:t>
            </w:r>
            <w:r>
              <w:rPr>
                <w:rFonts w:hint="eastAsia" w:ascii="宋体" w:hAnsi="宋体" w:cs="宋体"/>
              </w:rPr>
              <w:t>分；</w:t>
            </w:r>
          </w:p>
          <w:p>
            <w:pPr>
              <w:snapToGrid w:val="0"/>
              <w:spacing w:line="400" w:lineRule="exact"/>
              <w:ind w:firstLine="315" w:firstLineChars="150"/>
              <w:rPr>
                <w:rFonts w:ascii="宋体" w:hAnsi="宋体" w:cs="宋体"/>
              </w:rPr>
            </w:pPr>
            <w:r>
              <w:rPr>
                <w:rFonts w:hint="eastAsia" w:ascii="宋体" w:hAnsi="宋体" w:cs="宋体"/>
              </w:rPr>
              <w:t>（3）技术部分：</w:t>
            </w:r>
            <w:r>
              <w:rPr>
                <w:rFonts w:hint="eastAsia" w:ascii="宋体" w:hAnsi="宋体" w:cs="宋体"/>
                <w:u w:val="single"/>
              </w:rPr>
              <w:t>35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snapToGrid w:val="0"/>
              <w:spacing w:line="400" w:lineRule="exact"/>
              <w:ind w:left="105" w:hanging="105" w:hangingChars="50"/>
              <w:jc w:val="center"/>
              <w:rPr>
                <w:rFonts w:ascii="宋体" w:hAnsi="宋体" w:cs="宋体"/>
                <w:kern w:val="0"/>
              </w:rPr>
            </w:pPr>
            <w:r>
              <w:rPr>
                <w:rFonts w:hint="eastAsia" w:ascii="宋体" w:hAnsi="宋体" w:cs="宋体"/>
                <w:kern w:val="0"/>
              </w:rPr>
              <w:t>2.2.4</w:t>
            </w:r>
          </w:p>
          <w:p>
            <w:pPr>
              <w:spacing w:line="400" w:lineRule="exact"/>
              <w:jc w:val="center"/>
              <w:rPr>
                <w:rFonts w:ascii="宋体" w:hAnsi="宋体" w:cs="宋体"/>
                <w:kern w:val="0"/>
              </w:rPr>
            </w:pPr>
            <w:r>
              <w:rPr>
                <w:rFonts w:hint="eastAsia" w:ascii="宋体" w:hAnsi="宋体" w:cs="宋体"/>
                <w:kern w:val="0"/>
              </w:rPr>
              <w:t>（1）</w:t>
            </w:r>
          </w:p>
        </w:tc>
        <w:tc>
          <w:tcPr>
            <w:tcW w:w="1415" w:type="dxa"/>
            <w:vMerge w:val="restart"/>
            <w:vAlign w:val="center"/>
          </w:tcPr>
          <w:p>
            <w:pPr>
              <w:spacing w:line="400" w:lineRule="exact"/>
              <w:jc w:val="center"/>
              <w:rPr>
                <w:rFonts w:ascii="宋体" w:hAnsi="宋体" w:cs="宋体"/>
                <w:kern w:val="0"/>
              </w:rPr>
            </w:pPr>
            <w:r>
              <w:rPr>
                <w:rFonts w:hint="eastAsia" w:ascii="宋体" w:hAnsi="宋体" w:cs="宋体"/>
                <w:kern w:val="0"/>
              </w:rPr>
              <w:t>比选申请报价</w:t>
            </w:r>
          </w:p>
          <w:p>
            <w:pPr>
              <w:spacing w:line="400" w:lineRule="exact"/>
              <w:jc w:val="center"/>
              <w:rPr>
                <w:rFonts w:ascii="宋体" w:hAnsi="宋体" w:cs="宋体"/>
                <w:kern w:val="0"/>
              </w:rPr>
            </w:pPr>
            <w:r>
              <w:rPr>
                <w:rFonts w:hint="eastAsia" w:ascii="宋体" w:hAnsi="宋体" w:cs="宋体"/>
                <w:kern w:val="0"/>
              </w:rPr>
              <w:t>评分标准   （</w:t>
            </w:r>
            <w:r>
              <w:rPr>
                <w:rFonts w:hint="eastAsia" w:ascii="宋体" w:hAnsi="宋体" w:cs="宋体"/>
                <w:kern w:val="0"/>
                <w:u w:val="single"/>
              </w:rPr>
              <w:t>45</w:t>
            </w:r>
            <w:r>
              <w:rPr>
                <w:rFonts w:hint="eastAsia" w:ascii="宋体" w:hAnsi="宋体" w:cs="宋体"/>
                <w:kern w:val="0"/>
              </w:rPr>
              <w:t>分）</w:t>
            </w:r>
          </w:p>
        </w:tc>
        <w:tc>
          <w:tcPr>
            <w:tcW w:w="1753" w:type="dxa"/>
            <w:gridSpan w:val="2"/>
            <w:vAlign w:val="center"/>
          </w:tcPr>
          <w:p>
            <w:pPr>
              <w:spacing w:line="400" w:lineRule="exact"/>
              <w:jc w:val="center"/>
              <w:rPr>
                <w:rFonts w:ascii="宋体" w:hAnsi="宋体" w:cs="宋体"/>
                <w:kern w:val="0"/>
              </w:rPr>
            </w:pPr>
            <w:r>
              <w:rPr>
                <w:rFonts w:hint="eastAsia"/>
              </w:rPr>
              <w:t>在职职工保费单价</w:t>
            </w:r>
            <w:r>
              <w:rPr>
                <w:rFonts w:hint="eastAsia" w:ascii="宋体" w:hAnsi="宋体" w:cs="宋体"/>
                <w:kern w:val="0"/>
              </w:rPr>
              <w:t>（15分）</w:t>
            </w:r>
          </w:p>
        </w:tc>
        <w:tc>
          <w:tcPr>
            <w:tcW w:w="5476" w:type="dxa"/>
          </w:tcPr>
          <w:p>
            <w:pPr>
              <w:pStyle w:val="15"/>
              <w:spacing w:after="0" w:line="400" w:lineRule="exact"/>
              <w:ind w:left="0" w:leftChars="0" w:firstLine="420" w:firstLineChars="200"/>
              <w:rPr>
                <w:rFonts w:ascii="宋体" w:hAnsi="宋体" w:cs="宋体"/>
                <w:kern w:val="0"/>
                <w:sz w:val="21"/>
              </w:rPr>
            </w:pPr>
            <w:r>
              <w:rPr>
                <w:rFonts w:ascii="宋体" w:hAnsi="宋体" w:cs="宋体"/>
                <w:kern w:val="0"/>
                <w:sz w:val="21"/>
              </w:rPr>
              <w:t>1</w:t>
            </w:r>
            <w:r>
              <w:rPr>
                <w:rFonts w:hint="eastAsia" w:ascii="宋体" w:hAnsi="宋体" w:cs="宋体"/>
                <w:kern w:val="0"/>
                <w:sz w:val="21"/>
              </w:rPr>
              <w:t>、评审基准价计算方法：所有初步评审合格的比选申请人（比选申请报价高于最高限价的除外）的比选申请报价中去掉六分之一（不能整除的按小数点前整数取整，不足六家报价则不去掉）的最低价和相同家数的最高价后的算术平均值。</w:t>
            </w:r>
          </w:p>
          <w:p>
            <w:pPr>
              <w:pStyle w:val="15"/>
              <w:spacing w:after="0" w:line="400" w:lineRule="exact"/>
              <w:ind w:left="0" w:leftChars="0" w:firstLine="420" w:firstLineChars="200"/>
              <w:rPr>
                <w:rFonts w:ascii="宋体" w:hAnsi="宋体" w:cs="宋体"/>
                <w:sz w:val="21"/>
              </w:rPr>
            </w:pPr>
            <w:r>
              <w:rPr>
                <w:rFonts w:ascii="宋体" w:hAnsi="宋体" w:cs="宋体"/>
                <w:kern w:val="0"/>
                <w:sz w:val="21"/>
              </w:rPr>
              <w:t>2</w:t>
            </w:r>
            <w:r>
              <w:rPr>
                <w:rFonts w:hint="eastAsia" w:ascii="宋体" w:hAnsi="宋体" w:cs="宋体"/>
                <w:kern w:val="0"/>
                <w:sz w:val="21"/>
              </w:rPr>
              <w:t>、</w:t>
            </w:r>
            <w:r>
              <w:rPr>
                <w:rFonts w:hint="eastAsia" w:ascii="宋体" w:hAnsi="宋体" w:cs="宋体"/>
                <w:sz w:val="21"/>
              </w:rPr>
              <w:t>所有通过初步评审合格比选申请人的比选申请报价与评审基准价相比，每增加</w:t>
            </w:r>
            <w:r>
              <w:rPr>
                <w:rFonts w:ascii="宋体" w:hAnsi="宋体" w:cs="宋体"/>
                <w:sz w:val="21"/>
              </w:rPr>
              <w:t>1%</w:t>
            </w:r>
            <w:r>
              <w:rPr>
                <w:rFonts w:hint="eastAsia" w:ascii="宋体" w:hAnsi="宋体" w:cs="宋体"/>
                <w:sz w:val="21"/>
              </w:rPr>
              <w:t>在</w:t>
            </w:r>
            <w:r>
              <w:rPr>
                <w:rFonts w:hint="eastAsia" w:ascii="宋体" w:hAnsi="宋体" w:cs="宋体"/>
                <w:sz w:val="21"/>
                <w:u w:val="single"/>
              </w:rPr>
              <w:t>10</w:t>
            </w:r>
            <w:r>
              <w:rPr>
                <w:rFonts w:hint="eastAsia" w:ascii="宋体" w:hAnsi="宋体" w:cs="宋体"/>
                <w:sz w:val="21"/>
              </w:rPr>
              <w:t>分的基础上扣</w:t>
            </w:r>
            <w:r>
              <w:rPr>
                <w:rFonts w:ascii="宋体" w:hAnsi="宋体" w:cs="宋体"/>
                <w:sz w:val="21"/>
              </w:rPr>
              <w:t>0.5</w:t>
            </w:r>
            <w:r>
              <w:rPr>
                <w:rFonts w:hint="eastAsia" w:ascii="宋体" w:hAnsi="宋体" w:cs="宋体"/>
                <w:sz w:val="21"/>
              </w:rPr>
              <w:t>分，扣完为止。每减少</w:t>
            </w:r>
            <w:r>
              <w:rPr>
                <w:rFonts w:ascii="宋体" w:hAnsi="宋体" w:cs="宋体"/>
                <w:sz w:val="21"/>
              </w:rPr>
              <w:t>1%</w:t>
            </w:r>
            <w:r>
              <w:rPr>
                <w:rFonts w:hint="eastAsia" w:ascii="宋体" w:hAnsi="宋体" w:cs="宋体"/>
                <w:sz w:val="21"/>
              </w:rPr>
              <w:t>在</w:t>
            </w:r>
            <w:r>
              <w:rPr>
                <w:rFonts w:hint="eastAsia" w:ascii="宋体" w:hAnsi="宋体" w:cs="宋体"/>
                <w:sz w:val="21"/>
                <w:u w:val="single"/>
              </w:rPr>
              <w:t>10</w:t>
            </w:r>
            <w:r>
              <w:rPr>
                <w:rFonts w:hint="eastAsia" w:ascii="宋体" w:hAnsi="宋体" w:cs="宋体"/>
                <w:sz w:val="21"/>
              </w:rPr>
              <w:t>分的基础上加</w:t>
            </w:r>
            <w:r>
              <w:rPr>
                <w:rFonts w:ascii="宋体" w:hAnsi="宋体" w:cs="宋体"/>
                <w:sz w:val="21"/>
              </w:rPr>
              <w:t>0.5</w:t>
            </w:r>
            <w:r>
              <w:rPr>
                <w:rFonts w:hint="eastAsia" w:ascii="宋体" w:hAnsi="宋体" w:cs="宋体"/>
                <w:sz w:val="21"/>
              </w:rPr>
              <w:t>分，本项满分15分。</w:t>
            </w:r>
          </w:p>
          <w:p>
            <w:pPr>
              <w:pStyle w:val="15"/>
              <w:spacing w:after="0" w:line="400" w:lineRule="exact"/>
              <w:ind w:left="0" w:leftChars="0" w:firstLine="420" w:firstLineChars="200"/>
              <w:rPr>
                <w:rFonts w:ascii="宋体" w:hAnsi="宋体" w:cs="宋体"/>
                <w:kern w:val="0"/>
                <w:sz w:val="21"/>
              </w:rPr>
            </w:pPr>
            <w:r>
              <w:rPr>
                <w:rFonts w:hint="eastAsia" w:ascii="宋体" w:hAnsi="宋体" w:cs="宋体"/>
                <w:sz w:val="21"/>
              </w:rPr>
              <w:t>（按插入法计算得分；以上计算取小数点后两位，第三位四舍五入）</w:t>
            </w:r>
            <w:r>
              <w:rPr>
                <w:rFonts w:hint="eastAsia" w:ascii="宋体" w:hAnsi="宋体" w:cs="宋体"/>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spacing w:line="400" w:lineRule="exact"/>
              <w:jc w:val="center"/>
              <w:rPr>
                <w:rFonts w:ascii="宋体" w:hAnsi="宋体" w:cs="宋体"/>
                <w:kern w:val="0"/>
              </w:rPr>
            </w:pPr>
          </w:p>
        </w:tc>
        <w:tc>
          <w:tcPr>
            <w:tcW w:w="1415" w:type="dxa"/>
            <w:vMerge w:val="continue"/>
            <w:vAlign w:val="center"/>
          </w:tcPr>
          <w:p>
            <w:pPr>
              <w:spacing w:line="400" w:lineRule="exact"/>
              <w:jc w:val="center"/>
              <w:rPr>
                <w:rFonts w:ascii="宋体" w:hAnsi="宋体" w:cs="宋体"/>
                <w:kern w:val="0"/>
              </w:rPr>
            </w:pPr>
          </w:p>
        </w:tc>
        <w:tc>
          <w:tcPr>
            <w:tcW w:w="1753" w:type="dxa"/>
            <w:gridSpan w:val="2"/>
            <w:vAlign w:val="center"/>
          </w:tcPr>
          <w:p>
            <w:pPr>
              <w:spacing w:line="400" w:lineRule="exact"/>
              <w:jc w:val="center"/>
              <w:rPr>
                <w:rFonts w:ascii="宋体" w:hAnsi="宋体" w:cs="宋体"/>
                <w:kern w:val="0"/>
              </w:rPr>
            </w:pPr>
            <w:r>
              <w:rPr>
                <w:rFonts w:hint="eastAsia"/>
              </w:rPr>
              <w:t>退休职工保费单价</w:t>
            </w:r>
            <w:r>
              <w:rPr>
                <w:rFonts w:hint="eastAsia" w:ascii="宋体" w:hAnsi="宋体" w:cs="宋体"/>
              </w:rPr>
              <w:t>（15分）</w:t>
            </w:r>
          </w:p>
        </w:tc>
        <w:tc>
          <w:tcPr>
            <w:tcW w:w="5476" w:type="dxa"/>
          </w:tcPr>
          <w:p>
            <w:pPr>
              <w:pStyle w:val="15"/>
              <w:spacing w:after="0" w:line="400" w:lineRule="exact"/>
              <w:ind w:left="0" w:leftChars="0" w:firstLine="420" w:firstLineChars="200"/>
              <w:rPr>
                <w:rFonts w:ascii="宋体" w:hAnsi="宋体" w:cs="宋体"/>
                <w:sz w:val="21"/>
              </w:rPr>
            </w:pPr>
            <w:r>
              <w:rPr>
                <w:rFonts w:ascii="宋体" w:hAnsi="宋体" w:cs="宋体"/>
                <w:sz w:val="21"/>
              </w:rPr>
              <w:t>1</w:t>
            </w:r>
            <w:r>
              <w:rPr>
                <w:rFonts w:hint="eastAsia" w:ascii="宋体" w:hAnsi="宋体" w:cs="宋体"/>
                <w:sz w:val="21"/>
              </w:rPr>
              <w:t>、评审基准价计算方法：</w:t>
            </w:r>
            <w:r>
              <w:rPr>
                <w:rFonts w:hint="eastAsia" w:ascii="宋体" w:hAnsi="宋体" w:cs="宋体"/>
                <w:kern w:val="0"/>
                <w:sz w:val="21"/>
              </w:rPr>
              <w:t>所有初步评审合格的比选申请人（比选申请报价高于最高限价的除外）的比选申请报价中去掉六分之一（不能整除的按小数点前整数取整，不足六家报价则不去掉）的最低价和相同家数的最高价后的算术平均值</w:t>
            </w:r>
            <w:r>
              <w:rPr>
                <w:rFonts w:hint="eastAsia" w:ascii="宋体" w:hAnsi="宋体" w:cs="宋体"/>
                <w:sz w:val="21"/>
              </w:rPr>
              <w:t>。</w:t>
            </w:r>
          </w:p>
          <w:p>
            <w:pPr>
              <w:pStyle w:val="15"/>
              <w:spacing w:after="0" w:line="400" w:lineRule="exact"/>
              <w:ind w:left="0" w:leftChars="0" w:firstLine="420" w:firstLineChars="200"/>
              <w:rPr>
                <w:rFonts w:ascii="宋体" w:hAnsi="宋体" w:cs="宋体"/>
                <w:sz w:val="21"/>
              </w:rPr>
            </w:pPr>
            <w:r>
              <w:rPr>
                <w:rFonts w:ascii="宋体" w:hAnsi="宋体" w:cs="宋体"/>
                <w:sz w:val="21"/>
              </w:rPr>
              <w:t>2</w:t>
            </w:r>
            <w:r>
              <w:rPr>
                <w:rFonts w:hint="eastAsia" w:ascii="宋体" w:hAnsi="宋体" w:cs="宋体"/>
                <w:sz w:val="21"/>
              </w:rPr>
              <w:t>、根据评审基准价，所有通过初步评审合格比选申请人的比选申请报价与评审基准价相比，每增加</w:t>
            </w:r>
            <w:r>
              <w:rPr>
                <w:rFonts w:ascii="宋体" w:hAnsi="宋体" w:cs="宋体"/>
                <w:sz w:val="21"/>
              </w:rPr>
              <w:t>1%</w:t>
            </w:r>
            <w:r>
              <w:rPr>
                <w:rFonts w:hint="eastAsia" w:ascii="宋体" w:hAnsi="宋体" w:cs="宋体"/>
                <w:sz w:val="21"/>
              </w:rPr>
              <w:t>在</w:t>
            </w:r>
            <w:r>
              <w:rPr>
                <w:rFonts w:hint="eastAsia" w:ascii="宋体" w:hAnsi="宋体" w:cs="宋体"/>
                <w:sz w:val="21"/>
                <w:u w:val="single"/>
              </w:rPr>
              <w:t>10</w:t>
            </w:r>
            <w:r>
              <w:rPr>
                <w:rFonts w:hint="eastAsia" w:ascii="宋体" w:hAnsi="宋体" w:cs="宋体"/>
                <w:sz w:val="21"/>
              </w:rPr>
              <w:t>分的基础上扣</w:t>
            </w:r>
            <w:r>
              <w:rPr>
                <w:rFonts w:ascii="宋体" w:hAnsi="宋体" w:cs="宋体"/>
                <w:sz w:val="21"/>
              </w:rPr>
              <w:t>0.5</w:t>
            </w:r>
            <w:r>
              <w:rPr>
                <w:rFonts w:hint="eastAsia" w:ascii="宋体" w:hAnsi="宋体" w:cs="宋体"/>
                <w:sz w:val="21"/>
              </w:rPr>
              <w:t>分，扣完为止。每减少</w:t>
            </w:r>
            <w:r>
              <w:rPr>
                <w:rFonts w:ascii="宋体" w:hAnsi="宋体" w:cs="宋体"/>
                <w:sz w:val="21"/>
              </w:rPr>
              <w:t>1%</w:t>
            </w:r>
            <w:r>
              <w:rPr>
                <w:rFonts w:hint="eastAsia" w:ascii="宋体" w:hAnsi="宋体" w:cs="宋体"/>
                <w:sz w:val="21"/>
              </w:rPr>
              <w:t>在</w:t>
            </w:r>
            <w:r>
              <w:rPr>
                <w:rFonts w:hint="eastAsia" w:ascii="宋体" w:hAnsi="宋体" w:cs="宋体"/>
                <w:sz w:val="21"/>
                <w:u w:val="single"/>
              </w:rPr>
              <w:t>10</w:t>
            </w:r>
            <w:r>
              <w:rPr>
                <w:rFonts w:hint="eastAsia" w:ascii="宋体" w:hAnsi="宋体" w:cs="宋体"/>
                <w:sz w:val="21"/>
              </w:rPr>
              <w:t>分的基础上加</w:t>
            </w:r>
            <w:r>
              <w:rPr>
                <w:rFonts w:ascii="宋体" w:hAnsi="宋体" w:cs="宋体"/>
                <w:sz w:val="21"/>
              </w:rPr>
              <w:t>0.5</w:t>
            </w:r>
            <w:r>
              <w:rPr>
                <w:rFonts w:hint="eastAsia" w:ascii="宋体" w:hAnsi="宋体" w:cs="宋体"/>
                <w:sz w:val="21"/>
              </w:rPr>
              <w:t>分，本项满分15分。</w:t>
            </w:r>
          </w:p>
          <w:p>
            <w:pPr>
              <w:pStyle w:val="15"/>
              <w:spacing w:after="0" w:line="400" w:lineRule="exact"/>
              <w:ind w:left="0" w:leftChars="0" w:firstLine="420" w:firstLineChars="200"/>
              <w:rPr>
                <w:rFonts w:ascii="宋体" w:hAnsi="宋体" w:cs="宋体"/>
                <w:sz w:val="21"/>
              </w:rPr>
            </w:pPr>
            <w:r>
              <w:rPr>
                <w:rFonts w:hint="eastAsia" w:ascii="宋体" w:hAnsi="宋体" w:cs="宋体"/>
                <w:sz w:val="21"/>
              </w:rPr>
              <w:t>（按插入法计算得分；以上计算取小数点后两位，第三位四舍五入）。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pPr>
              <w:spacing w:line="400" w:lineRule="exact"/>
              <w:jc w:val="center"/>
              <w:rPr>
                <w:rFonts w:ascii="宋体" w:hAnsi="宋体" w:cs="宋体"/>
                <w:kern w:val="0"/>
              </w:rPr>
            </w:pPr>
          </w:p>
        </w:tc>
        <w:tc>
          <w:tcPr>
            <w:tcW w:w="1415" w:type="dxa"/>
            <w:vMerge w:val="continue"/>
            <w:vAlign w:val="center"/>
          </w:tcPr>
          <w:p>
            <w:pPr>
              <w:spacing w:line="400" w:lineRule="exact"/>
              <w:jc w:val="center"/>
              <w:rPr>
                <w:rFonts w:ascii="宋体" w:hAnsi="宋体" w:cs="宋体"/>
                <w:kern w:val="0"/>
              </w:rPr>
            </w:pPr>
          </w:p>
        </w:tc>
        <w:tc>
          <w:tcPr>
            <w:tcW w:w="1753" w:type="dxa"/>
            <w:gridSpan w:val="2"/>
            <w:vAlign w:val="center"/>
          </w:tcPr>
          <w:p>
            <w:pPr>
              <w:spacing w:line="400" w:lineRule="exact"/>
              <w:jc w:val="center"/>
              <w:rPr>
                <w:rFonts w:ascii="宋体" w:hAnsi="宋体" w:cs="宋体"/>
              </w:rPr>
            </w:pPr>
            <w:r>
              <w:rPr>
                <w:rFonts w:hint="eastAsia"/>
              </w:rPr>
              <w:t>健康保障委托管理费费率</w:t>
            </w:r>
            <w:r>
              <w:rPr>
                <w:rFonts w:hint="eastAsia" w:ascii="宋体" w:hAnsi="宋体" w:cs="宋体"/>
              </w:rPr>
              <w:t>（15分）</w:t>
            </w:r>
          </w:p>
        </w:tc>
        <w:tc>
          <w:tcPr>
            <w:tcW w:w="5476" w:type="dxa"/>
          </w:tcPr>
          <w:p>
            <w:pPr>
              <w:pStyle w:val="15"/>
              <w:spacing w:after="0" w:line="400" w:lineRule="exact"/>
              <w:ind w:left="0" w:leftChars="0" w:firstLine="420" w:firstLineChars="200"/>
              <w:rPr>
                <w:rFonts w:ascii="宋体" w:hAnsi="宋体" w:cs="宋体"/>
                <w:sz w:val="21"/>
              </w:rPr>
            </w:pPr>
            <w:r>
              <w:rPr>
                <w:rFonts w:hint="eastAsia" w:ascii="宋体" w:hAnsi="宋体" w:cs="宋体"/>
                <w:sz w:val="21"/>
              </w:rPr>
              <w:t>1、评审基准价计算方法：</w:t>
            </w:r>
            <w:r>
              <w:rPr>
                <w:rFonts w:hint="eastAsia" w:ascii="宋体" w:hAnsi="宋体" w:cs="宋体"/>
                <w:kern w:val="0"/>
                <w:sz w:val="21"/>
              </w:rPr>
              <w:t>所有初步评审合格的比选申请人（比选申请报价高于最高限价的除外）的比选申请报价中最低的服务费费率</w:t>
            </w:r>
            <w:r>
              <w:rPr>
                <w:rFonts w:hint="eastAsia" w:ascii="宋体" w:hAnsi="宋体" w:cs="宋体"/>
                <w:sz w:val="21"/>
              </w:rPr>
              <w:t>。</w:t>
            </w:r>
          </w:p>
          <w:p>
            <w:pPr>
              <w:pStyle w:val="15"/>
              <w:spacing w:after="0" w:line="400" w:lineRule="exact"/>
              <w:ind w:left="0" w:leftChars="0" w:firstLine="420" w:firstLineChars="200"/>
              <w:rPr>
                <w:rFonts w:ascii="宋体" w:hAnsi="宋体" w:cs="宋体"/>
                <w:sz w:val="21"/>
              </w:rPr>
            </w:pPr>
            <w:r>
              <w:rPr>
                <w:rFonts w:hint="eastAsia" w:ascii="宋体" w:hAnsi="宋体" w:cs="宋体"/>
                <w:sz w:val="21"/>
              </w:rPr>
              <w:t>2、根据评审基准价，所有通过初步评审合格比选申请人的比选申请报价与评审基准价相减，每高于基准价</w:t>
            </w:r>
            <w:r>
              <w:rPr>
                <w:rFonts w:hint="eastAsia" w:ascii="宋体" w:hAnsi="宋体" w:cs="宋体"/>
                <w:sz w:val="21"/>
                <w:u w:val="single"/>
              </w:rPr>
              <w:t xml:space="preserve"> 0.05%</w:t>
            </w:r>
            <w:r>
              <w:rPr>
                <w:rFonts w:hint="eastAsia" w:ascii="宋体" w:hAnsi="宋体" w:cs="宋体"/>
                <w:sz w:val="21"/>
              </w:rPr>
              <w:t>在</w:t>
            </w:r>
            <w:r>
              <w:rPr>
                <w:rFonts w:hint="eastAsia" w:ascii="宋体" w:hAnsi="宋体" w:cs="宋体"/>
                <w:sz w:val="21"/>
                <w:u w:val="single"/>
              </w:rPr>
              <w:t>15</w:t>
            </w:r>
            <w:r>
              <w:rPr>
                <w:rFonts w:hint="eastAsia" w:ascii="宋体" w:hAnsi="宋体" w:cs="宋体"/>
                <w:sz w:val="21"/>
              </w:rPr>
              <w:t>分的基础上扣减</w:t>
            </w:r>
            <w:r>
              <w:rPr>
                <w:rFonts w:hint="eastAsia" w:ascii="宋体" w:hAnsi="宋体" w:cs="宋体"/>
                <w:sz w:val="21"/>
                <w:u w:val="single"/>
              </w:rPr>
              <w:t>0.5</w:t>
            </w:r>
            <w:r>
              <w:rPr>
                <w:rFonts w:hint="eastAsia" w:ascii="宋体" w:hAnsi="宋体" w:cs="宋体"/>
                <w:sz w:val="21"/>
              </w:rPr>
              <w:t>分，扣完为止。</w:t>
            </w:r>
          </w:p>
          <w:p>
            <w:pPr>
              <w:pStyle w:val="15"/>
              <w:spacing w:after="0" w:line="400" w:lineRule="exact"/>
              <w:ind w:left="0" w:leftChars="0" w:firstLine="420" w:firstLineChars="200"/>
              <w:rPr>
                <w:rFonts w:ascii="宋体" w:hAnsi="宋体" w:cs="宋体"/>
                <w:sz w:val="21"/>
              </w:rPr>
            </w:pPr>
            <w:r>
              <w:rPr>
                <w:rFonts w:hint="eastAsia" w:ascii="宋体" w:hAnsi="宋体" w:cs="宋体"/>
                <w:sz w:val="21"/>
              </w:rPr>
              <w:t>（按插入法计算得分；以上计算取小数点后两位，第三位四舍五入）</w:t>
            </w:r>
            <w:r>
              <w:rPr>
                <w:rFonts w:hint="eastAsia" w:ascii="宋体" w:hAnsi="宋体" w:cs="宋体"/>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820" w:type="dxa"/>
            <w:vMerge w:val="restart"/>
            <w:vAlign w:val="center"/>
          </w:tcPr>
          <w:p>
            <w:pPr>
              <w:snapToGrid w:val="0"/>
              <w:spacing w:line="400" w:lineRule="exact"/>
              <w:ind w:left="105" w:hanging="105" w:hangingChars="50"/>
              <w:jc w:val="center"/>
              <w:rPr>
                <w:rFonts w:ascii="宋体" w:hAnsi="宋体" w:cs="宋体"/>
                <w:kern w:val="0"/>
              </w:rPr>
            </w:pPr>
            <w:r>
              <w:rPr>
                <w:rFonts w:hint="eastAsia" w:ascii="宋体" w:hAnsi="宋体" w:cs="宋体"/>
                <w:kern w:val="0"/>
              </w:rPr>
              <w:t>2.2.4（2）</w:t>
            </w:r>
          </w:p>
        </w:tc>
        <w:tc>
          <w:tcPr>
            <w:tcW w:w="1415" w:type="dxa"/>
            <w:vMerge w:val="restart"/>
            <w:vAlign w:val="center"/>
          </w:tcPr>
          <w:p>
            <w:pPr>
              <w:snapToGrid w:val="0"/>
              <w:spacing w:line="400" w:lineRule="exact"/>
              <w:jc w:val="center"/>
              <w:rPr>
                <w:rFonts w:ascii="宋体" w:hAnsi="宋体" w:cs="宋体"/>
                <w:kern w:val="0"/>
              </w:rPr>
            </w:pPr>
            <w:r>
              <w:rPr>
                <w:rFonts w:hint="eastAsia" w:ascii="宋体" w:hAnsi="宋体" w:cs="宋体"/>
                <w:kern w:val="0"/>
              </w:rPr>
              <w:t>商务部分</w:t>
            </w:r>
          </w:p>
          <w:p>
            <w:pPr>
              <w:snapToGrid w:val="0"/>
              <w:spacing w:line="400" w:lineRule="exact"/>
              <w:jc w:val="center"/>
              <w:rPr>
                <w:rFonts w:ascii="宋体" w:hAnsi="宋体" w:cs="宋体"/>
                <w:kern w:val="0"/>
              </w:rPr>
            </w:pPr>
            <w:r>
              <w:rPr>
                <w:rFonts w:hint="eastAsia" w:ascii="宋体" w:hAnsi="宋体" w:cs="宋体"/>
                <w:kern w:val="0"/>
              </w:rPr>
              <w:t>评分标准</w:t>
            </w:r>
          </w:p>
          <w:p>
            <w:pPr>
              <w:snapToGrid w:val="0"/>
              <w:spacing w:line="400" w:lineRule="exact"/>
              <w:jc w:val="center"/>
              <w:rPr>
                <w:rFonts w:ascii="宋体" w:hAnsi="宋体" w:cs="宋体"/>
                <w:kern w:val="0"/>
              </w:rPr>
            </w:pPr>
            <w:r>
              <w:rPr>
                <w:rFonts w:hint="eastAsia" w:ascii="宋体" w:hAnsi="宋体" w:cs="宋体"/>
                <w:kern w:val="0"/>
              </w:rPr>
              <w:t>（</w:t>
            </w:r>
            <w:r>
              <w:rPr>
                <w:rFonts w:hint="eastAsia" w:ascii="宋体" w:hAnsi="宋体" w:cs="宋体"/>
                <w:kern w:val="0"/>
                <w:u w:val="single"/>
              </w:rPr>
              <w:t>20</w:t>
            </w:r>
            <w:r>
              <w:rPr>
                <w:rFonts w:hint="eastAsia" w:ascii="宋体" w:hAnsi="宋体" w:cs="宋体"/>
                <w:kern w:val="0"/>
              </w:rPr>
              <w:t>分）</w:t>
            </w:r>
          </w:p>
        </w:tc>
        <w:tc>
          <w:tcPr>
            <w:tcW w:w="1753" w:type="dxa"/>
            <w:gridSpan w:val="2"/>
            <w:vAlign w:val="center"/>
          </w:tcPr>
          <w:p>
            <w:pPr>
              <w:snapToGrid w:val="0"/>
              <w:spacing w:line="400" w:lineRule="exact"/>
              <w:jc w:val="center"/>
              <w:rPr>
                <w:rFonts w:cstheme="minorEastAsia"/>
                <w:kern w:val="0"/>
              </w:rPr>
            </w:pPr>
            <w:r>
              <w:rPr>
                <w:rFonts w:hint="eastAsia" w:cstheme="minorEastAsia"/>
                <w:kern w:val="0"/>
              </w:rPr>
              <w:t>偿付能力充足率</w:t>
            </w:r>
          </w:p>
          <w:p>
            <w:pPr>
              <w:tabs>
                <w:tab w:val="left" w:pos="2300"/>
              </w:tabs>
              <w:snapToGrid w:val="0"/>
              <w:spacing w:line="360" w:lineRule="auto"/>
              <w:ind w:firstLine="199" w:firstLineChars="95"/>
              <w:jc w:val="center"/>
              <w:rPr>
                <w:rFonts w:ascii="宋体" w:hAnsi="宋体" w:cs="宋体"/>
                <w:kern w:val="0"/>
              </w:rPr>
            </w:pPr>
            <w:r>
              <w:rPr>
                <w:rFonts w:hint="eastAsia" w:cstheme="minorEastAsia"/>
                <w:kern w:val="0"/>
              </w:rPr>
              <w:t>（10分）</w:t>
            </w:r>
          </w:p>
        </w:tc>
        <w:tc>
          <w:tcPr>
            <w:tcW w:w="5476" w:type="dxa"/>
            <w:vAlign w:val="center"/>
          </w:tcPr>
          <w:p>
            <w:pPr>
              <w:spacing w:before="156" w:beforeLines="50" w:line="360" w:lineRule="auto"/>
              <w:ind w:firstLine="420"/>
              <w:rPr>
                <w:rFonts w:cstheme="minorEastAsia"/>
              </w:rPr>
            </w:pPr>
            <w:r>
              <w:rPr>
                <w:rFonts w:hint="eastAsia" w:cstheme="minorEastAsia"/>
              </w:rPr>
              <w:t>按照比选申请人总公司2022年度综合偿付能力充足率在220%（含）以上得10分，200%（含）-220%得8分，180%（含）-200%得6分，160%（含）-180%得4分，140%（含）-160%得2分，140%以下不得分。</w:t>
            </w:r>
          </w:p>
          <w:p>
            <w:pPr>
              <w:snapToGrid w:val="0"/>
              <w:spacing w:before="156" w:beforeLines="50" w:line="360" w:lineRule="auto"/>
              <w:ind w:firstLine="420"/>
              <w:rPr>
                <w:rFonts w:ascii="宋体" w:hAnsi="宋体" w:cs="宋体"/>
                <w:b/>
              </w:rPr>
            </w:pPr>
            <w:r>
              <w:rPr>
                <w:rFonts w:hint="eastAsia" w:cstheme="minorEastAsia"/>
              </w:rPr>
              <w:t>注：比选申请人提供2022年度已审计的偿付能力报表复印件，并加盖比选申请人单位公章。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20" w:type="dxa"/>
            <w:vMerge w:val="continue"/>
            <w:vAlign w:val="center"/>
          </w:tcPr>
          <w:p>
            <w:pPr>
              <w:snapToGrid w:val="0"/>
              <w:spacing w:line="400" w:lineRule="exact"/>
              <w:ind w:left="105" w:hanging="105" w:hangingChars="50"/>
              <w:jc w:val="center"/>
              <w:rPr>
                <w:rFonts w:ascii="宋体" w:hAnsi="宋体" w:cs="宋体"/>
                <w:kern w:val="0"/>
              </w:rPr>
            </w:pPr>
          </w:p>
        </w:tc>
        <w:tc>
          <w:tcPr>
            <w:tcW w:w="1415" w:type="dxa"/>
            <w:vMerge w:val="continue"/>
            <w:vAlign w:val="center"/>
          </w:tcPr>
          <w:p>
            <w:pPr>
              <w:snapToGrid w:val="0"/>
              <w:spacing w:line="400" w:lineRule="exact"/>
              <w:jc w:val="center"/>
              <w:rPr>
                <w:rFonts w:ascii="宋体" w:hAnsi="宋体" w:cs="宋体"/>
                <w:kern w:val="0"/>
              </w:rPr>
            </w:pPr>
          </w:p>
        </w:tc>
        <w:tc>
          <w:tcPr>
            <w:tcW w:w="1753" w:type="dxa"/>
            <w:gridSpan w:val="2"/>
            <w:vAlign w:val="center"/>
          </w:tcPr>
          <w:p>
            <w:pPr>
              <w:snapToGrid w:val="0"/>
              <w:spacing w:line="400" w:lineRule="exact"/>
              <w:ind w:firstLine="630" w:firstLineChars="300"/>
              <w:rPr>
                <w:rFonts w:cstheme="minorEastAsia"/>
                <w:kern w:val="0"/>
              </w:rPr>
            </w:pPr>
            <w:r>
              <w:rPr>
                <w:rFonts w:hint="eastAsia" w:cstheme="minorEastAsia"/>
                <w:kern w:val="0"/>
              </w:rPr>
              <w:t>业绩</w:t>
            </w:r>
          </w:p>
          <w:p>
            <w:pPr>
              <w:snapToGrid w:val="0"/>
              <w:spacing w:line="400" w:lineRule="exact"/>
              <w:ind w:firstLine="420"/>
              <w:rPr>
                <w:rFonts w:ascii="宋体" w:hAnsi="宋体" w:cs="宋体"/>
                <w:kern w:val="0"/>
              </w:rPr>
            </w:pPr>
            <w:r>
              <w:rPr>
                <w:rFonts w:hint="eastAsia" w:cstheme="minorEastAsia"/>
                <w:kern w:val="0"/>
              </w:rPr>
              <w:t>（3分)</w:t>
            </w:r>
          </w:p>
        </w:tc>
        <w:tc>
          <w:tcPr>
            <w:tcW w:w="5476" w:type="dxa"/>
            <w:vAlign w:val="center"/>
          </w:tcPr>
          <w:p>
            <w:pPr>
              <w:spacing w:line="400" w:lineRule="exact"/>
              <w:ind w:firstLine="420"/>
              <w:rPr>
                <w:rFonts w:cstheme="minorEastAsia"/>
              </w:rPr>
            </w:pPr>
            <w:r>
              <w:rPr>
                <w:rFonts w:hint="eastAsia" w:cstheme="minorEastAsia"/>
              </w:rPr>
              <w:t>2020年1月1日至比选申请截止之日（以合同签订时间为准），比选申请人或其总公司承接过1个保险服务期达到1年及以上的补充医疗保险项目，且单份合同承保人数达到2000人及以上的，得1分，比选申请人每多提供一个项目业绩加1分，最多得3分。</w:t>
            </w:r>
          </w:p>
          <w:p>
            <w:pPr>
              <w:tabs>
                <w:tab w:val="left" w:pos="2300"/>
              </w:tabs>
              <w:snapToGrid w:val="0"/>
              <w:spacing w:line="400" w:lineRule="exact"/>
              <w:ind w:firstLine="420"/>
              <w:rPr>
                <w:rFonts w:ascii="宋体" w:hAnsi="宋体" w:cs="宋体"/>
              </w:rPr>
            </w:pPr>
            <w:r>
              <w:rPr>
                <w:rFonts w:hint="eastAsia" w:cs="宋体"/>
              </w:rPr>
              <w:t>注：比选申请人需提供能够证明已承保类似项目的业绩证明文件的复印件，包括但不限于保险合同（协议）复印件等, 涉及到保险费率、保险费等保密数据可以进行覆盖，但要保证提供的资料能够充分证明的以上业绩要求。</w:t>
            </w:r>
            <w:r>
              <w:rPr>
                <w:rFonts w:hint="eastAsia" w:cs="宋体"/>
                <w:b/>
              </w:rPr>
              <w:t>另须提供本业绩对应的业主服务评价（评价内容须包含对比选申请人是否履行本业绩，以及业主满意程度并加盖业主公章，格式自拟）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20" w:type="dxa"/>
            <w:vMerge w:val="continue"/>
            <w:vAlign w:val="center"/>
          </w:tcPr>
          <w:p>
            <w:pPr>
              <w:snapToGrid w:val="0"/>
              <w:spacing w:line="400" w:lineRule="exact"/>
              <w:ind w:left="105" w:hanging="105" w:hangingChars="50"/>
              <w:jc w:val="center"/>
              <w:rPr>
                <w:rFonts w:ascii="宋体" w:hAnsi="宋体" w:cs="宋体"/>
                <w:kern w:val="0"/>
              </w:rPr>
            </w:pPr>
          </w:p>
        </w:tc>
        <w:tc>
          <w:tcPr>
            <w:tcW w:w="1415" w:type="dxa"/>
            <w:vMerge w:val="continue"/>
            <w:vAlign w:val="center"/>
          </w:tcPr>
          <w:p>
            <w:pPr>
              <w:snapToGrid w:val="0"/>
              <w:spacing w:line="400" w:lineRule="exact"/>
              <w:jc w:val="center"/>
              <w:rPr>
                <w:rFonts w:ascii="宋体" w:hAnsi="宋体" w:cs="宋体"/>
                <w:kern w:val="0"/>
              </w:rPr>
            </w:pPr>
          </w:p>
        </w:tc>
        <w:tc>
          <w:tcPr>
            <w:tcW w:w="1753" w:type="dxa"/>
            <w:gridSpan w:val="2"/>
            <w:vAlign w:val="center"/>
          </w:tcPr>
          <w:p>
            <w:pPr>
              <w:snapToGrid w:val="0"/>
              <w:spacing w:line="400" w:lineRule="exact"/>
              <w:ind w:firstLine="420" w:firstLineChars="200"/>
              <w:rPr>
                <w:rFonts w:cstheme="minorEastAsia"/>
                <w:kern w:val="0"/>
              </w:rPr>
            </w:pPr>
            <w:r>
              <w:rPr>
                <w:rFonts w:hint="eastAsia" w:cs="宋体" w:asciiTheme="minorEastAsia" w:hAnsiTheme="minorEastAsia" w:eastAsiaTheme="minorEastAsia"/>
              </w:rPr>
              <w:t>住院医疗自费药品报销比例（3分）</w:t>
            </w:r>
          </w:p>
        </w:tc>
        <w:tc>
          <w:tcPr>
            <w:tcW w:w="5476" w:type="dxa"/>
            <w:vAlign w:val="center"/>
          </w:tcPr>
          <w:p>
            <w:pPr>
              <w:spacing w:line="400" w:lineRule="exact"/>
              <w:ind w:firstLine="420"/>
              <w:rPr>
                <w:rFonts w:cs="宋体" w:asciiTheme="minorEastAsia" w:hAnsiTheme="minorEastAsia" w:eastAsiaTheme="minorEastAsia"/>
              </w:rPr>
            </w:pPr>
            <w:r>
              <w:rPr>
                <w:rFonts w:hint="eastAsia" w:cs="宋体"/>
              </w:rPr>
              <w:t>比选申请人对</w:t>
            </w:r>
            <w:r>
              <w:rPr>
                <w:rFonts w:hint="eastAsia" w:cs="宋体" w:asciiTheme="minorEastAsia" w:hAnsiTheme="minorEastAsia" w:eastAsiaTheme="minorEastAsia"/>
              </w:rPr>
              <w:t>自费药品报销比例单独承诺，在报销比例为不低于30%的基础上，比选申请人之间横向比较，比例按由高到低进行排名，第一名得3分，第二名得2.5分，第三名得2分，依此类推。</w:t>
            </w:r>
          </w:p>
          <w:p>
            <w:pPr>
              <w:spacing w:line="400" w:lineRule="exact"/>
              <w:ind w:firstLine="420"/>
              <w:rPr>
                <w:rFonts w:cstheme="minorEastAsia"/>
              </w:rPr>
            </w:pPr>
            <w:r>
              <w:rPr>
                <w:rFonts w:hint="eastAsia" w:cs="宋体" w:asciiTheme="minorEastAsia" w:hAnsiTheme="minorEastAsia" w:eastAsiaTheme="minorEastAsia"/>
              </w:rPr>
              <w:t>报销比例相同的可并列，但不影响后续排名。 未提供承诺的，此项不得分。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20" w:type="dxa"/>
            <w:vMerge w:val="continue"/>
            <w:vAlign w:val="center"/>
          </w:tcPr>
          <w:p>
            <w:pPr>
              <w:snapToGrid w:val="0"/>
              <w:spacing w:line="400" w:lineRule="exact"/>
              <w:ind w:left="105" w:hanging="105" w:hangingChars="50"/>
              <w:jc w:val="center"/>
              <w:rPr>
                <w:rFonts w:ascii="宋体" w:hAnsi="宋体" w:cs="宋体"/>
                <w:kern w:val="0"/>
              </w:rPr>
            </w:pPr>
          </w:p>
        </w:tc>
        <w:tc>
          <w:tcPr>
            <w:tcW w:w="1415" w:type="dxa"/>
            <w:vMerge w:val="continue"/>
            <w:vAlign w:val="center"/>
          </w:tcPr>
          <w:p>
            <w:pPr>
              <w:snapToGrid w:val="0"/>
              <w:spacing w:line="400" w:lineRule="exact"/>
              <w:jc w:val="center"/>
              <w:rPr>
                <w:rFonts w:ascii="宋体" w:hAnsi="宋体" w:cs="宋体"/>
                <w:kern w:val="0"/>
              </w:rPr>
            </w:pPr>
          </w:p>
        </w:tc>
        <w:tc>
          <w:tcPr>
            <w:tcW w:w="1753" w:type="dxa"/>
            <w:gridSpan w:val="2"/>
            <w:vAlign w:val="center"/>
          </w:tcPr>
          <w:p>
            <w:pPr>
              <w:snapToGrid w:val="0"/>
              <w:spacing w:line="400" w:lineRule="exact"/>
              <w:ind w:firstLine="420" w:firstLineChars="200"/>
              <w:rPr>
                <w:rFonts w:cs="宋体" w:asciiTheme="minorEastAsia" w:hAnsiTheme="minorEastAsia" w:eastAsiaTheme="minorEastAsia"/>
              </w:rPr>
            </w:pPr>
            <w:r>
              <w:rPr>
                <w:rFonts w:hint="eastAsia" w:cs="宋体" w:asciiTheme="minorEastAsia" w:hAnsiTheme="minorEastAsia" w:eastAsiaTheme="minorEastAsia"/>
              </w:rPr>
              <w:t>重大疾病保障种类（3分）</w:t>
            </w:r>
          </w:p>
        </w:tc>
        <w:tc>
          <w:tcPr>
            <w:tcW w:w="5476" w:type="dxa"/>
            <w:vAlign w:val="center"/>
          </w:tcPr>
          <w:p>
            <w:pPr>
              <w:spacing w:line="400" w:lineRule="exact"/>
              <w:ind w:firstLine="420"/>
            </w:pPr>
            <w:r>
              <w:rPr>
                <w:rFonts w:hint="eastAsia"/>
              </w:rPr>
              <w:t>比选申请人对重大疾病保障种类单独承诺。</w:t>
            </w:r>
          </w:p>
          <w:p>
            <w:pPr>
              <w:spacing w:line="400" w:lineRule="exact"/>
              <w:ind w:firstLine="420"/>
              <w:rPr>
                <w:rFonts w:cs="宋体"/>
              </w:rPr>
            </w:pPr>
            <w:r>
              <w:rPr>
                <w:rFonts w:hint="eastAsia"/>
              </w:rPr>
              <w:t>1、在重大疾病重症总数不低于</w:t>
            </w:r>
            <w:r>
              <w:t>45</w:t>
            </w:r>
            <w:r>
              <w:rPr>
                <w:rFonts w:hint="eastAsia"/>
              </w:rPr>
              <w:t>种的基础上，比选申请人</w:t>
            </w:r>
            <w:r>
              <w:rPr>
                <w:rFonts w:hint="eastAsia" w:cs="宋体"/>
              </w:rPr>
              <w:t>之间横向比较，重大疾病重症总数数量按由高到低进行排名，第一名得1.5分，第二名得1分，第三名得0.5分，第三名以后不得分。</w:t>
            </w:r>
          </w:p>
          <w:p>
            <w:pPr>
              <w:spacing w:line="400" w:lineRule="exact"/>
              <w:ind w:firstLine="420"/>
              <w:rPr>
                <w:rFonts w:cs="宋体"/>
              </w:rPr>
            </w:pPr>
            <w:r>
              <w:rPr>
                <w:rFonts w:hint="eastAsia" w:cs="宋体"/>
              </w:rPr>
              <w:t>2、在重大疾病轻症总数不低于</w:t>
            </w:r>
            <w:r>
              <w:rPr>
                <w:rFonts w:cs="宋体"/>
              </w:rPr>
              <w:t>10</w:t>
            </w:r>
            <w:r>
              <w:rPr>
                <w:rFonts w:hint="eastAsia" w:cs="宋体"/>
              </w:rPr>
              <w:t xml:space="preserve">种的基础上，比选申请人之间横向比较，重大疾病轻症总数数量按由高到低进行排名，第一名得1.5分，第二名得1分，第三名得0.5分，第三名以后不得分。  </w:t>
            </w:r>
          </w:p>
          <w:p>
            <w:pPr>
              <w:spacing w:line="400" w:lineRule="exact"/>
              <w:ind w:firstLine="420"/>
            </w:pPr>
            <w:r>
              <w:rPr>
                <w:rFonts w:hint="eastAsia" w:cs="宋体"/>
              </w:rPr>
              <w:t>承诺种类数量相同的可并列，但不影响后续排名。未提供承诺的，此项不得分。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20" w:type="dxa"/>
            <w:vMerge w:val="continue"/>
            <w:vAlign w:val="center"/>
          </w:tcPr>
          <w:p>
            <w:pPr>
              <w:snapToGrid w:val="0"/>
              <w:spacing w:line="400" w:lineRule="exact"/>
              <w:ind w:left="105" w:hanging="105" w:hangingChars="50"/>
              <w:jc w:val="center"/>
              <w:rPr>
                <w:rFonts w:ascii="宋体" w:hAnsi="宋体" w:cs="宋体"/>
                <w:kern w:val="0"/>
              </w:rPr>
            </w:pPr>
          </w:p>
        </w:tc>
        <w:tc>
          <w:tcPr>
            <w:tcW w:w="1415" w:type="dxa"/>
            <w:vMerge w:val="continue"/>
            <w:vAlign w:val="center"/>
          </w:tcPr>
          <w:p>
            <w:pPr>
              <w:snapToGrid w:val="0"/>
              <w:spacing w:line="400" w:lineRule="exact"/>
              <w:jc w:val="center"/>
              <w:rPr>
                <w:rFonts w:ascii="宋体" w:hAnsi="宋体" w:cs="宋体"/>
                <w:kern w:val="0"/>
              </w:rPr>
            </w:pPr>
          </w:p>
        </w:tc>
        <w:tc>
          <w:tcPr>
            <w:tcW w:w="1753" w:type="dxa"/>
            <w:gridSpan w:val="2"/>
            <w:vAlign w:val="center"/>
          </w:tcPr>
          <w:p>
            <w:pPr>
              <w:snapToGrid w:val="0"/>
              <w:spacing w:line="400" w:lineRule="exact"/>
              <w:ind w:firstLine="420" w:firstLineChars="200"/>
              <w:rPr>
                <w:rFonts w:cs="宋体" w:asciiTheme="minorEastAsia" w:hAnsiTheme="minorEastAsia"/>
              </w:rPr>
            </w:pPr>
            <w:r>
              <w:rPr>
                <w:rFonts w:hint="eastAsia"/>
              </w:rPr>
              <w:t>健康保障委托管理服务资金利率（1分）</w:t>
            </w:r>
          </w:p>
        </w:tc>
        <w:tc>
          <w:tcPr>
            <w:tcW w:w="5476" w:type="dxa"/>
            <w:vAlign w:val="center"/>
          </w:tcPr>
          <w:p>
            <w:pPr>
              <w:spacing w:line="400" w:lineRule="exact"/>
              <w:ind w:firstLine="420"/>
            </w:pPr>
            <w:r>
              <w:rPr>
                <w:rFonts w:hint="eastAsia"/>
              </w:rPr>
              <w:t>健康保障委托管理服务资金利率在不低于人民币活期存款基准利率的基础上，比选申请人之间横向比较，利率按高到低进行排名，第一名得1分，第二名得0.8分，第三名得0.6分，依此类推。</w:t>
            </w:r>
          </w:p>
          <w:p>
            <w:pPr>
              <w:pStyle w:val="2"/>
              <w:ind w:firstLine="420" w:firstLineChars="200"/>
            </w:pPr>
            <w:r>
              <w:rPr>
                <w:rFonts w:hint="eastAsia" w:ascii="Times New Roman" w:hAnsi="Times New Roman" w:cs="Times New Roman"/>
                <w:sz w:val="21"/>
                <w:szCs w:val="21"/>
              </w:rPr>
              <w:t>利率相同的可并列，但不影响后续排名。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restart"/>
            <w:vAlign w:val="center"/>
          </w:tcPr>
          <w:p>
            <w:pPr>
              <w:snapToGrid w:val="0"/>
              <w:spacing w:line="400" w:lineRule="exact"/>
              <w:jc w:val="center"/>
              <w:rPr>
                <w:rFonts w:ascii="宋体" w:hAnsi="宋体" w:cs="宋体"/>
                <w:kern w:val="0"/>
              </w:rPr>
            </w:pPr>
            <w:r>
              <w:rPr>
                <w:rFonts w:hint="eastAsia" w:ascii="宋体" w:hAnsi="宋体" w:cs="宋体"/>
                <w:kern w:val="0"/>
              </w:rPr>
              <w:t>2.2.4</w:t>
            </w:r>
          </w:p>
          <w:p>
            <w:pPr>
              <w:snapToGrid w:val="0"/>
              <w:spacing w:line="400" w:lineRule="exact"/>
              <w:jc w:val="center"/>
              <w:rPr>
                <w:rFonts w:ascii="宋体" w:hAnsi="宋体" w:cs="宋体"/>
                <w:kern w:val="0"/>
              </w:rPr>
            </w:pPr>
            <w:r>
              <w:rPr>
                <w:rFonts w:hint="eastAsia" w:ascii="宋体" w:hAnsi="宋体" w:cs="宋体"/>
                <w:kern w:val="0"/>
              </w:rPr>
              <w:t>（3）</w:t>
            </w:r>
          </w:p>
        </w:tc>
        <w:tc>
          <w:tcPr>
            <w:tcW w:w="1415" w:type="dxa"/>
            <w:vMerge w:val="restart"/>
            <w:vAlign w:val="center"/>
          </w:tcPr>
          <w:p>
            <w:pPr>
              <w:snapToGrid w:val="0"/>
              <w:spacing w:line="400" w:lineRule="exact"/>
              <w:jc w:val="center"/>
              <w:rPr>
                <w:rFonts w:ascii="宋体" w:hAnsi="宋体" w:cs="宋体"/>
                <w:kern w:val="0"/>
              </w:rPr>
            </w:pPr>
            <w:r>
              <w:rPr>
                <w:rFonts w:hint="eastAsia" w:ascii="宋体" w:hAnsi="宋体" w:cs="宋体"/>
                <w:kern w:val="0"/>
              </w:rPr>
              <w:t>技术部分</w:t>
            </w:r>
          </w:p>
          <w:p>
            <w:pPr>
              <w:snapToGrid w:val="0"/>
              <w:spacing w:line="400" w:lineRule="exact"/>
              <w:jc w:val="center"/>
              <w:rPr>
                <w:rFonts w:ascii="宋体" w:hAnsi="宋体" w:cs="宋体"/>
                <w:kern w:val="0"/>
              </w:rPr>
            </w:pPr>
            <w:r>
              <w:rPr>
                <w:rFonts w:hint="eastAsia" w:ascii="宋体" w:hAnsi="宋体" w:cs="宋体"/>
                <w:kern w:val="0"/>
              </w:rPr>
              <w:t>评分标准</w:t>
            </w:r>
          </w:p>
          <w:p>
            <w:pPr>
              <w:pStyle w:val="36"/>
              <w:rPr>
                <w:rFonts w:ascii="宋体" w:hAnsi="宋体" w:cs="宋体"/>
                <w:sz w:val="21"/>
                <w:szCs w:val="21"/>
                <w:u w:val="none"/>
                <w:lang w:eastAsia="zh-CN"/>
              </w:rPr>
            </w:pPr>
            <w:r>
              <w:rPr>
                <w:rFonts w:hint="eastAsia" w:ascii="宋体" w:hAnsi="宋体" w:cs="宋体"/>
                <w:sz w:val="21"/>
                <w:szCs w:val="21"/>
                <w:u w:val="none"/>
                <w:lang w:eastAsia="zh-CN"/>
              </w:rPr>
              <w:t>（</w:t>
            </w:r>
            <w:r>
              <w:rPr>
                <w:rFonts w:hint="eastAsia" w:ascii="宋体" w:hAnsi="宋体" w:cs="宋体"/>
                <w:sz w:val="21"/>
                <w:szCs w:val="21"/>
                <w:lang w:eastAsia="zh-CN"/>
              </w:rPr>
              <w:t>35</w:t>
            </w:r>
            <w:r>
              <w:rPr>
                <w:rFonts w:hint="eastAsia" w:ascii="宋体" w:hAnsi="宋体" w:cs="宋体"/>
                <w:sz w:val="21"/>
                <w:szCs w:val="21"/>
                <w:u w:val="none"/>
                <w:lang w:eastAsia="zh-CN"/>
              </w:rPr>
              <w:t>分）</w:t>
            </w:r>
          </w:p>
        </w:tc>
        <w:tc>
          <w:tcPr>
            <w:tcW w:w="1753" w:type="dxa"/>
            <w:gridSpan w:val="2"/>
            <w:vAlign w:val="center"/>
          </w:tcPr>
          <w:p>
            <w:pPr>
              <w:snapToGrid w:val="0"/>
              <w:spacing w:line="400" w:lineRule="exact"/>
              <w:jc w:val="center"/>
              <w:rPr>
                <w:rFonts w:cstheme="minorEastAsia"/>
                <w:kern w:val="0"/>
              </w:rPr>
            </w:pPr>
            <w:r>
              <w:rPr>
                <w:rFonts w:hint="eastAsia" w:cstheme="minorEastAsia"/>
                <w:kern w:val="0"/>
              </w:rPr>
              <w:t>服务方案</w:t>
            </w:r>
          </w:p>
          <w:p>
            <w:pPr>
              <w:snapToGrid w:val="0"/>
              <w:spacing w:line="400" w:lineRule="exact"/>
              <w:jc w:val="center"/>
              <w:rPr>
                <w:rFonts w:ascii="宋体" w:hAnsi="宋体" w:cs="宋体"/>
              </w:rPr>
            </w:pPr>
            <w:r>
              <w:rPr>
                <w:rFonts w:hint="eastAsia" w:cstheme="minorEastAsia"/>
                <w:kern w:val="0"/>
              </w:rPr>
              <w:t>（15分）</w:t>
            </w:r>
          </w:p>
        </w:tc>
        <w:tc>
          <w:tcPr>
            <w:tcW w:w="5476" w:type="dxa"/>
            <w:vAlign w:val="center"/>
          </w:tcPr>
          <w:p>
            <w:pPr>
              <w:tabs>
                <w:tab w:val="left" w:pos="2300"/>
              </w:tabs>
              <w:spacing w:line="400" w:lineRule="exact"/>
              <w:rPr>
                <w:rStyle w:val="16"/>
                <w:rFonts w:eastAsiaTheme="minorEastAsia"/>
                <w:b/>
                <w:bCs/>
              </w:rPr>
            </w:pPr>
            <w:r>
              <w:rPr>
                <w:rFonts w:hint="eastAsia" w:cs="宋体" w:asciiTheme="minorEastAsia" w:hAnsiTheme="minorEastAsia" w:eastAsiaTheme="minorEastAsia"/>
              </w:rPr>
              <w:t xml:space="preserve">    1.比选申请人需针对本项目服务范围、服务要求以及其他相关内容提供服务方案，且方案中须包括但不限于以下内容：产品方案、理赔方案、服务保障、专业技能等方面，并附上团体补充医疗保险合同范本、健康保障委托管理服务合同范本。</w:t>
            </w:r>
            <w:r>
              <w:rPr>
                <w:rFonts w:hint="eastAsia" w:cs="宋体" w:asciiTheme="minorEastAsia" w:hAnsiTheme="minorEastAsia" w:eastAsiaTheme="minorEastAsia"/>
                <w:b/>
                <w:bCs/>
              </w:rPr>
              <w:t>（在满足比选文件提出的服务内容要求、限价基础上，比选申请人可提出更优化的服务方案）</w:t>
            </w:r>
          </w:p>
          <w:p>
            <w:pPr>
              <w:tabs>
                <w:tab w:val="left" w:pos="2300"/>
              </w:tabs>
              <w:spacing w:line="400" w:lineRule="exact"/>
              <w:ind w:firstLine="420"/>
              <w:rPr>
                <w:rFonts w:cs="宋体" w:asciiTheme="minorEastAsia" w:hAnsiTheme="minorEastAsia" w:eastAsiaTheme="minorEastAsia"/>
              </w:rPr>
            </w:pPr>
            <w:r>
              <w:rPr>
                <w:rFonts w:hint="eastAsia" w:cs="宋体" w:asciiTheme="minorEastAsia" w:hAnsiTheme="minorEastAsia" w:eastAsiaTheme="minorEastAsia"/>
              </w:rPr>
              <w:t>2.比选申请人在项目服务期内需满足，指定专人负责案件收取和理赔咨询，并在保险期间内保持人员的稳定，如发生人员变动，应于三个工作日内书面告知经办部门；案件收取：每月不得少于2次；在收到理赔申请书及相关资料后，须在10个工作日内作出核定，并完成赔款的划转；调查案件须在20个工作日内作出核定，并完成赔款划转；</w:t>
            </w:r>
          </w:p>
          <w:p>
            <w:pPr>
              <w:tabs>
                <w:tab w:val="left" w:pos="2300"/>
              </w:tabs>
              <w:snapToGrid w:val="0"/>
              <w:spacing w:line="400" w:lineRule="exact"/>
              <w:ind w:firstLine="420"/>
              <w:rPr>
                <w:rFonts w:ascii="宋体" w:hAnsi="宋体" w:cs="宋体"/>
              </w:rPr>
            </w:pPr>
            <w:r>
              <w:rPr>
                <w:rFonts w:hint="eastAsia" w:cs="宋体" w:asciiTheme="minorEastAsia" w:hAnsiTheme="minorEastAsia" w:eastAsiaTheme="minorEastAsia"/>
              </w:rPr>
              <w:t>由评审委员会根据比选申请人提供的保险方案描述、时效性方案和服务方案的优劣性按照类比法进行评分，优得11-15分；良得5</w:t>
            </w:r>
            <w:r>
              <w:rPr>
                <w:rFonts w:cs="宋体" w:asciiTheme="minorEastAsia" w:hAnsiTheme="minorEastAsia" w:eastAsiaTheme="minorEastAsia"/>
              </w:rPr>
              <w:t>-</w:t>
            </w:r>
            <w:r>
              <w:rPr>
                <w:rFonts w:hint="eastAsia" w:cs="宋体" w:asciiTheme="minorEastAsia" w:hAnsiTheme="minorEastAsia" w:eastAsiaTheme="minorEastAsia"/>
              </w:rPr>
              <w:t>10分；中得</w:t>
            </w:r>
            <w:r>
              <w:rPr>
                <w:rFonts w:cs="宋体" w:asciiTheme="minorEastAsia" w:hAnsiTheme="minorEastAsia" w:eastAsiaTheme="minorEastAsia"/>
              </w:rPr>
              <w:t>0-</w:t>
            </w:r>
            <w:r>
              <w:rPr>
                <w:rFonts w:hint="eastAsia" w:cs="宋体" w:asciiTheme="minorEastAsia" w:hAnsiTheme="minorEastAsia" w:eastAsiaTheme="minorEastAsia"/>
              </w:rPr>
              <w:t>4分；未提供方案或者未包含以上提及内容本项不得分。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vAlign w:val="center"/>
          </w:tcPr>
          <w:p>
            <w:pPr>
              <w:snapToGrid w:val="0"/>
              <w:spacing w:line="400" w:lineRule="exact"/>
              <w:jc w:val="center"/>
              <w:rPr>
                <w:rFonts w:ascii="宋体" w:hAnsi="宋体" w:cs="宋体"/>
                <w:kern w:val="0"/>
              </w:rPr>
            </w:pPr>
          </w:p>
        </w:tc>
        <w:tc>
          <w:tcPr>
            <w:tcW w:w="1415" w:type="dxa"/>
            <w:vMerge w:val="continue"/>
            <w:vAlign w:val="center"/>
          </w:tcPr>
          <w:p>
            <w:pPr>
              <w:pStyle w:val="36"/>
              <w:rPr>
                <w:rFonts w:ascii="宋体" w:hAnsi="宋体" w:cs="宋体"/>
                <w:sz w:val="21"/>
                <w:szCs w:val="21"/>
                <w:u w:val="none"/>
                <w:lang w:eastAsia="zh-CN"/>
              </w:rPr>
            </w:pPr>
          </w:p>
        </w:tc>
        <w:tc>
          <w:tcPr>
            <w:tcW w:w="1753" w:type="dxa"/>
            <w:gridSpan w:val="2"/>
            <w:vAlign w:val="center"/>
          </w:tcPr>
          <w:p>
            <w:pPr>
              <w:snapToGrid w:val="0"/>
              <w:spacing w:line="400" w:lineRule="exact"/>
              <w:jc w:val="center"/>
              <w:rPr>
                <w:rFonts w:cstheme="minorEastAsia"/>
                <w:kern w:val="0"/>
              </w:rPr>
            </w:pPr>
            <w:r>
              <w:rPr>
                <w:rFonts w:hint="eastAsia" w:cstheme="minorEastAsia"/>
                <w:kern w:val="0"/>
              </w:rPr>
              <w:t>团队人员配置</w:t>
            </w:r>
          </w:p>
          <w:p>
            <w:pPr>
              <w:snapToGrid w:val="0"/>
              <w:spacing w:line="400" w:lineRule="exact"/>
              <w:jc w:val="center"/>
              <w:rPr>
                <w:rFonts w:ascii="宋体" w:hAnsi="宋体" w:cs="宋体"/>
              </w:rPr>
            </w:pPr>
            <w:r>
              <w:rPr>
                <w:rFonts w:hint="eastAsia" w:cstheme="minorEastAsia"/>
                <w:kern w:val="0"/>
              </w:rPr>
              <w:t>（7分）</w:t>
            </w:r>
          </w:p>
        </w:tc>
        <w:tc>
          <w:tcPr>
            <w:tcW w:w="5476" w:type="dxa"/>
            <w:vAlign w:val="center"/>
          </w:tcPr>
          <w:p>
            <w:pPr>
              <w:tabs>
                <w:tab w:val="left" w:pos="2300"/>
              </w:tabs>
              <w:spacing w:line="400" w:lineRule="exact"/>
              <w:ind w:firstLine="420"/>
              <w:rPr>
                <w:rFonts w:cs="宋体"/>
              </w:rPr>
            </w:pPr>
            <w:r>
              <w:rPr>
                <w:rFonts w:hint="eastAsia" w:cs="宋体"/>
              </w:rPr>
              <w:t>比选申请人</w:t>
            </w:r>
            <w:r>
              <w:rPr>
                <w:rFonts w:cs="宋体"/>
              </w:rPr>
              <w:t>承诺成立专属服务团队，配置专属服务人员。其中配置熟悉补充医疗保险业务及国家基本医疗保险制度项目主管至少1名（项</w:t>
            </w:r>
            <w:r>
              <w:rPr>
                <w:rFonts w:hint="eastAsia" w:cs="宋体"/>
              </w:rPr>
              <w:t>目主管应具有5年及以上补充医疗保险项目服务经验，并参与过1个1000人及以上的补充医疗保险项目），得4分；配置其他票据收取业务人员至少3名（业务人员应具有相关从业经历2年及以上），满足得3分，每少1人扣1分。本项最高7分。</w:t>
            </w:r>
          </w:p>
          <w:p>
            <w:pPr>
              <w:tabs>
                <w:tab w:val="left" w:pos="2300"/>
              </w:tabs>
              <w:snapToGrid w:val="0"/>
              <w:spacing w:line="400" w:lineRule="exact"/>
              <w:ind w:firstLine="420"/>
              <w:rPr>
                <w:rFonts w:ascii="宋体" w:hAnsi="宋体" w:cs="宋体"/>
              </w:rPr>
            </w:pPr>
            <w:r>
              <w:rPr>
                <w:rFonts w:hint="eastAsia" w:cs="宋体"/>
              </w:rPr>
              <w:t>注：比选申请人须在比选申请文件提供服务团队承诺（格式自拟）。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vAlign w:val="center"/>
          </w:tcPr>
          <w:p>
            <w:pPr>
              <w:snapToGrid w:val="0"/>
              <w:spacing w:line="400" w:lineRule="exact"/>
              <w:jc w:val="center"/>
              <w:rPr>
                <w:rFonts w:ascii="宋体" w:hAnsi="宋体" w:cs="宋体"/>
                <w:kern w:val="0"/>
              </w:rPr>
            </w:pPr>
          </w:p>
        </w:tc>
        <w:tc>
          <w:tcPr>
            <w:tcW w:w="1415" w:type="dxa"/>
            <w:vMerge w:val="continue"/>
            <w:vAlign w:val="center"/>
          </w:tcPr>
          <w:p>
            <w:pPr>
              <w:pStyle w:val="36"/>
              <w:rPr>
                <w:rFonts w:ascii="宋体" w:hAnsi="宋体" w:cs="宋体"/>
                <w:sz w:val="21"/>
                <w:szCs w:val="21"/>
                <w:u w:val="none"/>
                <w:lang w:eastAsia="zh-CN"/>
              </w:rPr>
            </w:pPr>
          </w:p>
        </w:tc>
        <w:tc>
          <w:tcPr>
            <w:tcW w:w="1753" w:type="dxa"/>
            <w:gridSpan w:val="2"/>
            <w:vAlign w:val="center"/>
          </w:tcPr>
          <w:p>
            <w:pPr>
              <w:snapToGrid w:val="0"/>
              <w:spacing w:line="400" w:lineRule="exact"/>
              <w:ind w:firstLine="199" w:firstLineChars="95"/>
              <w:jc w:val="center"/>
              <w:rPr>
                <w:rFonts w:cstheme="minorEastAsia"/>
                <w:kern w:val="0"/>
              </w:rPr>
            </w:pPr>
            <w:r>
              <w:rPr>
                <w:rFonts w:hint="eastAsia" w:cstheme="minorEastAsia"/>
                <w:kern w:val="0"/>
              </w:rPr>
              <w:t>线上理赔</w:t>
            </w:r>
          </w:p>
          <w:p>
            <w:pPr>
              <w:snapToGrid w:val="0"/>
              <w:spacing w:line="400" w:lineRule="exact"/>
              <w:ind w:firstLine="199" w:firstLineChars="95"/>
              <w:jc w:val="center"/>
              <w:rPr>
                <w:rFonts w:ascii="宋体" w:hAnsi="宋体" w:cs="宋体"/>
              </w:rPr>
            </w:pPr>
            <w:r>
              <w:rPr>
                <w:rFonts w:hint="eastAsia" w:cstheme="minorEastAsia"/>
                <w:kern w:val="0"/>
              </w:rPr>
              <w:t>（5分）</w:t>
            </w:r>
          </w:p>
        </w:tc>
        <w:tc>
          <w:tcPr>
            <w:tcW w:w="5476" w:type="dxa"/>
            <w:vAlign w:val="center"/>
          </w:tcPr>
          <w:p>
            <w:pPr>
              <w:snapToGrid w:val="0"/>
              <w:spacing w:line="400" w:lineRule="exact"/>
              <w:ind w:firstLine="199" w:firstLineChars="95"/>
              <w:rPr>
                <w:rFonts w:cstheme="minorEastAsia"/>
                <w:kern w:val="0"/>
              </w:rPr>
            </w:pPr>
            <w:r>
              <w:rPr>
                <w:rFonts w:hint="eastAsia" w:cstheme="minorEastAsia"/>
                <w:kern w:val="0"/>
              </w:rPr>
              <w:t>比选申请人能够实现线上理赔服务（客户自行通过手机端进行理赔、不需上门理赔）的得5分；若均不能实现得0分。</w:t>
            </w:r>
          </w:p>
          <w:p>
            <w:pPr>
              <w:snapToGrid w:val="0"/>
              <w:spacing w:line="400" w:lineRule="exact"/>
              <w:ind w:firstLine="199" w:firstLineChars="95"/>
              <w:rPr>
                <w:rFonts w:ascii="宋体" w:hAnsi="宋体" w:cs="宋体"/>
              </w:rPr>
            </w:pPr>
            <w:r>
              <w:rPr>
                <w:rFonts w:hint="eastAsia" w:cstheme="minorEastAsia"/>
                <w:kern w:val="0"/>
              </w:rPr>
              <w:t>注：比选申请人须在比选申请文件提供线上理赔承诺（承诺格式自拟）并加盖比选申请人单位公章。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vAlign w:val="center"/>
          </w:tcPr>
          <w:p>
            <w:pPr>
              <w:snapToGrid w:val="0"/>
              <w:spacing w:line="400" w:lineRule="exact"/>
              <w:jc w:val="center"/>
              <w:rPr>
                <w:rFonts w:ascii="宋体" w:hAnsi="宋体" w:cs="宋体"/>
                <w:kern w:val="0"/>
              </w:rPr>
            </w:pPr>
          </w:p>
        </w:tc>
        <w:tc>
          <w:tcPr>
            <w:tcW w:w="1415" w:type="dxa"/>
            <w:vMerge w:val="continue"/>
            <w:vAlign w:val="center"/>
          </w:tcPr>
          <w:p>
            <w:pPr>
              <w:pStyle w:val="36"/>
              <w:rPr>
                <w:rFonts w:ascii="宋体" w:hAnsi="宋体" w:cs="宋体"/>
                <w:sz w:val="21"/>
                <w:szCs w:val="21"/>
                <w:u w:val="none"/>
                <w:lang w:eastAsia="zh-CN"/>
              </w:rPr>
            </w:pPr>
          </w:p>
        </w:tc>
        <w:tc>
          <w:tcPr>
            <w:tcW w:w="1753" w:type="dxa"/>
            <w:gridSpan w:val="2"/>
            <w:vAlign w:val="center"/>
          </w:tcPr>
          <w:p>
            <w:pPr>
              <w:snapToGrid w:val="0"/>
              <w:spacing w:line="400" w:lineRule="exact"/>
              <w:ind w:firstLine="199" w:firstLineChars="95"/>
              <w:jc w:val="center"/>
              <w:rPr>
                <w:rFonts w:cstheme="minorEastAsia"/>
                <w:kern w:val="0"/>
              </w:rPr>
            </w:pPr>
            <w:r>
              <w:rPr>
                <w:rFonts w:hint="eastAsia" w:cstheme="minorEastAsia"/>
                <w:kern w:val="0"/>
              </w:rPr>
              <w:t>增值服务</w:t>
            </w:r>
          </w:p>
          <w:p>
            <w:pPr>
              <w:snapToGrid w:val="0"/>
              <w:spacing w:line="400" w:lineRule="exact"/>
              <w:jc w:val="center"/>
              <w:rPr>
                <w:rFonts w:ascii="宋体" w:hAnsi="宋体" w:cs="宋体"/>
              </w:rPr>
            </w:pPr>
            <w:r>
              <w:rPr>
                <w:rFonts w:hint="eastAsia" w:cstheme="minorEastAsia"/>
                <w:kern w:val="0"/>
              </w:rPr>
              <w:t>（8分）</w:t>
            </w:r>
          </w:p>
        </w:tc>
        <w:tc>
          <w:tcPr>
            <w:tcW w:w="5476" w:type="dxa"/>
            <w:vAlign w:val="center"/>
          </w:tcPr>
          <w:p>
            <w:pPr>
              <w:snapToGrid w:val="0"/>
              <w:spacing w:line="400" w:lineRule="exact"/>
              <w:ind w:firstLine="420"/>
              <w:rPr>
                <w:rFonts w:cstheme="minorEastAsia"/>
                <w:kern w:val="0"/>
              </w:rPr>
            </w:pPr>
            <w:r>
              <w:rPr>
                <w:rFonts w:hint="eastAsia" w:cstheme="minorEastAsia"/>
                <w:kern w:val="0"/>
              </w:rPr>
              <w:t xml:space="preserve">1. 提供客户服务手册（公司简介、服务内容、理赔流程），设立VIP通道进行理赔 ；                    </w:t>
            </w:r>
          </w:p>
          <w:p>
            <w:pPr>
              <w:snapToGrid w:val="0"/>
              <w:spacing w:line="400" w:lineRule="exact"/>
              <w:ind w:firstLine="420"/>
              <w:rPr>
                <w:rFonts w:cstheme="minorEastAsia"/>
                <w:kern w:val="0"/>
              </w:rPr>
            </w:pPr>
            <w:r>
              <w:rPr>
                <w:rFonts w:hint="eastAsia" w:cstheme="minorEastAsia"/>
                <w:kern w:val="0"/>
              </w:rPr>
              <w:t xml:space="preserve">2.报案和投诉当天处理、人员变动的当天处理；           </w:t>
            </w:r>
          </w:p>
          <w:p>
            <w:pPr>
              <w:snapToGrid w:val="0"/>
              <w:spacing w:line="400" w:lineRule="exact"/>
              <w:ind w:firstLine="420"/>
              <w:rPr>
                <w:rFonts w:cstheme="minorEastAsia"/>
                <w:kern w:val="0"/>
              </w:rPr>
            </w:pPr>
            <w:r>
              <w:rPr>
                <w:rFonts w:hint="eastAsia" w:cstheme="minorEastAsia"/>
                <w:kern w:val="0"/>
              </w:rPr>
              <w:t xml:space="preserve">3.提供每月的理赔数据报告，保全定期结算服务；  </w:t>
            </w:r>
          </w:p>
          <w:p>
            <w:pPr>
              <w:snapToGrid w:val="0"/>
              <w:spacing w:line="400" w:lineRule="exact"/>
              <w:ind w:firstLine="420"/>
              <w:rPr>
                <w:rFonts w:cstheme="minorEastAsia"/>
                <w:kern w:val="0"/>
              </w:rPr>
            </w:pPr>
            <w:r>
              <w:rPr>
                <w:rFonts w:hint="eastAsia" w:cstheme="minorEastAsia"/>
                <w:kern w:val="0"/>
              </w:rPr>
              <w:t>4.提供医院预约挂号，就诊绿色通道；</w:t>
            </w:r>
          </w:p>
          <w:p>
            <w:pPr>
              <w:snapToGrid w:val="0"/>
              <w:spacing w:line="400" w:lineRule="exact"/>
              <w:ind w:firstLine="420"/>
              <w:rPr>
                <w:rFonts w:cstheme="minorEastAsia"/>
                <w:kern w:val="0"/>
              </w:rPr>
            </w:pPr>
            <w:r>
              <w:rPr>
                <w:rFonts w:hint="eastAsia" w:cstheme="minorEastAsia"/>
                <w:kern w:val="0"/>
              </w:rPr>
              <w:t>5.微信或短信通知服务，提示理赔进度，全面了解保障责任及理赔情况。</w:t>
            </w:r>
          </w:p>
          <w:p>
            <w:pPr>
              <w:snapToGrid w:val="0"/>
              <w:spacing w:line="400" w:lineRule="exact"/>
              <w:ind w:firstLine="420"/>
              <w:rPr>
                <w:rFonts w:ascii="宋体" w:hAnsi="宋体" w:cs="宋体"/>
              </w:rPr>
            </w:pPr>
            <w:r>
              <w:rPr>
                <w:rFonts w:hint="eastAsia" w:cstheme="minorEastAsia"/>
                <w:kern w:val="0"/>
              </w:rPr>
              <w:t>比选申请人须提供增值服务方案，提供以上5项增值服务，每有1项得1分，比选申请人须另自行提供3项增值服务，每有1项得1分，此项满分为8分。方案中未提供增值服务的，本项不得分。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pPr>
              <w:spacing w:line="400" w:lineRule="exact"/>
              <w:jc w:val="center"/>
              <w:rPr>
                <w:rFonts w:ascii="宋体" w:hAnsi="宋体" w:cs="宋体"/>
                <w:kern w:val="0"/>
              </w:rPr>
            </w:pPr>
            <w:r>
              <w:rPr>
                <w:rFonts w:hint="eastAsia" w:ascii="宋体" w:hAnsi="宋体" w:cs="宋体"/>
              </w:rPr>
              <w:t>3</w:t>
            </w:r>
          </w:p>
        </w:tc>
        <w:tc>
          <w:tcPr>
            <w:tcW w:w="1415" w:type="dxa"/>
            <w:textDirection w:val="tbRlV"/>
            <w:vAlign w:val="center"/>
          </w:tcPr>
          <w:p>
            <w:pPr>
              <w:spacing w:line="400" w:lineRule="exact"/>
              <w:ind w:left="113" w:right="113"/>
              <w:jc w:val="center"/>
              <w:rPr>
                <w:rFonts w:ascii="宋体" w:hAnsi="宋体" w:cs="宋体"/>
                <w:kern w:val="0"/>
              </w:rPr>
            </w:pPr>
            <w:r>
              <w:rPr>
                <w:rFonts w:hint="eastAsia" w:ascii="宋体" w:hAnsi="宋体" w:cs="宋体"/>
              </w:rPr>
              <w:t>评审程序</w:t>
            </w:r>
          </w:p>
        </w:tc>
        <w:tc>
          <w:tcPr>
            <w:tcW w:w="7229" w:type="dxa"/>
            <w:gridSpan w:val="3"/>
          </w:tcPr>
          <w:p>
            <w:pPr>
              <w:spacing w:line="400" w:lineRule="exact"/>
              <w:ind w:firstLine="420" w:firstLineChars="200"/>
              <w:rPr>
                <w:rFonts w:ascii="宋体" w:hAnsi="宋体" w:cs="宋体"/>
              </w:rPr>
            </w:pPr>
            <w:r>
              <w:rPr>
                <w:rFonts w:hint="eastAsia" w:ascii="宋体" w:hAnsi="宋体" w:cs="宋体"/>
              </w:rPr>
              <w:t>1.初步评审前，按本章第3.1.3项的规定对比选申请报价有算术性错误的进行算术性错误修正。</w:t>
            </w:r>
          </w:p>
          <w:p>
            <w:pPr>
              <w:spacing w:line="400" w:lineRule="exact"/>
              <w:ind w:firstLine="420" w:firstLineChars="200"/>
              <w:rPr>
                <w:rFonts w:ascii="宋体" w:hAnsi="宋体" w:cs="宋体"/>
              </w:rPr>
            </w:pPr>
            <w:r>
              <w:rPr>
                <w:rFonts w:hint="eastAsia" w:ascii="宋体" w:hAnsi="宋体" w:cs="宋体"/>
              </w:rPr>
              <w:t>2. 初步评审合格的竞选文件进行商务部分、技术部分、比选申请报价的评分。</w:t>
            </w:r>
          </w:p>
          <w:p>
            <w:pPr>
              <w:spacing w:line="400" w:lineRule="exact"/>
              <w:ind w:firstLine="420" w:firstLineChars="200"/>
              <w:rPr>
                <w:rFonts w:ascii="宋体" w:hAnsi="宋体" w:cs="宋体"/>
              </w:rPr>
            </w:pPr>
            <w:r>
              <w:rPr>
                <w:rFonts w:hint="eastAsia" w:ascii="宋体" w:hAnsi="宋体" w:cs="宋体"/>
              </w:rPr>
              <w:t>3.根据综合得分由高至低进行排序，推荐1-3家合格的中选候选人。并依次为第一、二、三中选候选人。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20" w:type="dxa"/>
            <w:vAlign w:val="center"/>
          </w:tcPr>
          <w:p>
            <w:pPr>
              <w:adjustRightInd w:val="0"/>
              <w:snapToGrid w:val="0"/>
              <w:spacing w:line="300" w:lineRule="exact"/>
              <w:jc w:val="center"/>
              <w:rPr>
                <w:rFonts w:ascii="宋体" w:hAnsi="宋体" w:cs="宋体"/>
              </w:rPr>
            </w:pPr>
            <w:r>
              <w:rPr>
                <w:rFonts w:hint="eastAsia" w:ascii="宋体" w:hAnsi="宋体" w:cs="宋体"/>
              </w:rPr>
              <w:t>3.2.1（1）</w:t>
            </w:r>
          </w:p>
        </w:tc>
        <w:tc>
          <w:tcPr>
            <w:tcW w:w="1415" w:type="dxa"/>
            <w:vAlign w:val="center"/>
          </w:tcPr>
          <w:p>
            <w:pPr>
              <w:adjustRightInd w:val="0"/>
              <w:snapToGrid w:val="0"/>
              <w:spacing w:line="300" w:lineRule="exact"/>
              <w:jc w:val="center"/>
              <w:rPr>
                <w:rFonts w:ascii="宋体" w:hAnsi="宋体" w:cs="宋体"/>
              </w:rPr>
            </w:pPr>
            <w:r>
              <w:rPr>
                <w:rFonts w:hint="eastAsia" w:ascii="宋体" w:hAnsi="宋体" w:cs="宋体"/>
              </w:rPr>
              <w:t>比选申请报价得分（A）</w:t>
            </w:r>
          </w:p>
        </w:tc>
        <w:tc>
          <w:tcPr>
            <w:tcW w:w="7229" w:type="dxa"/>
            <w:gridSpan w:val="3"/>
            <w:vAlign w:val="center"/>
          </w:tcPr>
          <w:p>
            <w:pPr>
              <w:adjustRightInd w:val="0"/>
              <w:snapToGrid w:val="0"/>
              <w:spacing w:line="300" w:lineRule="exact"/>
              <w:ind w:firstLine="420" w:firstLineChars="200"/>
              <w:jc w:val="center"/>
              <w:rPr>
                <w:rFonts w:ascii="宋体" w:hAnsi="宋体" w:cs="宋体"/>
              </w:rPr>
            </w:pPr>
            <w:r>
              <w:rPr>
                <w:rFonts w:hint="eastAsia" w:ascii="宋体" w:hAnsi="宋体" w:cs="宋体"/>
              </w:rPr>
              <w:t>按2.2.4（1）项各评审因素设定的分值评分。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20" w:type="dxa"/>
            <w:vAlign w:val="center"/>
          </w:tcPr>
          <w:p>
            <w:pPr>
              <w:adjustRightInd w:val="0"/>
              <w:snapToGrid w:val="0"/>
              <w:spacing w:line="300" w:lineRule="exact"/>
              <w:jc w:val="center"/>
              <w:rPr>
                <w:rFonts w:ascii="宋体" w:hAnsi="宋体" w:cs="宋体"/>
              </w:rPr>
            </w:pPr>
            <w:r>
              <w:rPr>
                <w:rFonts w:hint="eastAsia" w:ascii="宋体" w:hAnsi="宋体" w:cs="宋体"/>
              </w:rPr>
              <w:t>3.2.1（2）</w:t>
            </w:r>
          </w:p>
        </w:tc>
        <w:tc>
          <w:tcPr>
            <w:tcW w:w="1415" w:type="dxa"/>
            <w:vAlign w:val="center"/>
          </w:tcPr>
          <w:p>
            <w:pPr>
              <w:adjustRightInd w:val="0"/>
              <w:snapToGrid w:val="0"/>
              <w:spacing w:line="300" w:lineRule="exact"/>
              <w:jc w:val="center"/>
              <w:rPr>
                <w:rFonts w:ascii="宋体" w:hAnsi="宋体" w:cs="宋体"/>
              </w:rPr>
            </w:pPr>
            <w:r>
              <w:rPr>
                <w:rFonts w:hint="eastAsia" w:ascii="宋体" w:hAnsi="宋体" w:cs="宋体"/>
                <w:kern w:val="0"/>
              </w:rPr>
              <w:t>商务部分得分（B）</w:t>
            </w:r>
          </w:p>
        </w:tc>
        <w:tc>
          <w:tcPr>
            <w:tcW w:w="7229" w:type="dxa"/>
            <w:gridSpan w:val="3"/>
            <w:vAlign w:val="center"/>
          </w:tcPr>
          <w:p>
            <w:pPr>
              <w:adjustRightInd w:val="0"/>
              <w:snapToGrid w:val="0"/>
              <w:spacing w:line="300" w:lineRule="exact"/>
              <w:ind w:firstLine="420" w:firstLineChars="200"/>
              <w:jc w:val="center"/>
              <w:rPr>
                <w:rFonts w:ascii="宋体" w:hAnsi="宋体" w:cs="宋体"/>
              </w:rPr>
            </w:pPr>
            <w:r>
              <w:rPr>
                <w:rFonts w:hint="eastAsia" w:ascii="宋体" w:hAnsi="宋体" w:cs="宋体"/>
              </w:rPr>
              <w:t>按2.2.4（2）项各评审因素设定的分值评分。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20" w:type="dxa"/>
            <w:vAlign w:val="center"/>
          </w:tcPr>
          <w:p>
            <w:pPr>
              <w:adjustRightInd w:val="0"/>
              <w:snapToGrid w:val="0"/>
              <w:spacing w:line="300" w:lineRule="exact"/>
              <w:jc w:val="center"/>
              <w:rPr>
                <w:rFonts w:ascii="宋体" w:hAnsi="宋体" w:cs="宋体"/>
              </w:rPr>
            </w:pPr>
            <w:r>
              <w:rPr>
                <w:rFonts w:hint="eastAsia" w:ascii="宋体" w:hAnsi="宋体" w:cs="宋体"/>
              </w:rPr>
              <w:t>3.2.1（3）</w:t>
            </w:r>
          </w:p>
        </w:tc>
        <w:tc>
          <w:tcPr>
            <w:tcW w:w="1415" w:type="dxa"/>
            <w:vAlign w:val="center"/>
          </w:tcPr>
          <w:p>
            <w:pPr>
              <w:adjustRightInd w:val="0"/>
              <w:snapToGrid w:val="0"/>
              <w:spacing w:line="300" w:lineRule="exact"/>
              <w:jc w:val="center"/>
              <w:rPr>
                <w:rFonts w:ascii="宋体" w:hAnsi="宋体" w:cs="宋体"/>
              </w:rPr>
            </w:pPr>
            <w:r>
              <w:rPr>
                <w:rFonts w:hint="eastAsia" w:ascii="宋体" w:hAnsi="宋体" w:cs="宋体"/>
                <w:kern w:val="0"/>
              </w:rPr>
              <w:t>技术部分得分（C）</w:t>
            </w:r>
          </w:p>
        </w:tc>
        <w:tc>
          <w:tcPr>
            <w:tcW w:w="7229" w:type="dxa"/>
            <w:gridSpan w:val="3"/>
            <w:vAlign w:val="center"/>
          </w:tcPr>
          <w:p>
            <w:pPr>
              <w:adjustRightInd w:val="0"/>
              <w:snapToGrid w:val="0"/>
              <w:spacing w:line="300" w:lineRule="exact"/>
              <w:ind w:firstLine="420" w:firstLineChars="200"/>
              <w:jc w:val="center"/>
              <w:rPr>
                <w:rFonts w:ascii="宋体" w:hAnsi="宋体" w:cs="宋体"/>
              </w:rPr>
            </w:pPr>
            <w:r>
              <w:rPr>
                <w:rFonts w:hint="eastAsia" w:ascii="宋体" w:hAnsi="宋体" w:cs="宋体"/>
              </w:rPr>
              <w:t>按2.2.4（3）项各评审因素设定的分值评分。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235" w:type="dxa"/>
            <w:gridSpan w:val="2"/>
            <w:vAlign w:val="center"/>
          </w:tcPr>
          <w:p>
            <w:pPr>
              <w:spacing w:line="400" w:lineRule="exact"/>
              <w:ind w:firstLine="420" w:firstLineChars="200"/>
              <w:rPr>
                <w:rFonts w:ascii="宋体" w:hAnsi="宋体" w:cs="宋体"/>
              </w:rPr>
            </w:pPr>
            <w:r>
              <w:rPr>
                <w:rFonts w:hint="eastAsia" w:ascii="宋体" w:hAnsi="宋体" w:cs="宋体"/>
              </w:rPr>
              <w:t>3.2.3</w:t>
            </w:r>
          </w:p>
        </w:tc>
        <w:tc>
          <w:tcPr>
            <w:tcW w:w="1578" w:type="dxa"/>
            <w:vAlign w:val="center"/>
          </w:tcPr>
          <w:p>
            <w:pPr>
              <w:spacing w:line="400" w:lineRule="exact"/>
              <w:rPr>
                <w:rFonts w:ascii="宋体" w:hAnsi="宋体" w:cs="宋体"/>
              </w:rPr>
            </w:pPr>
            <w:r>
              <w:rPr>
                <w:rFonts w:hint="eastAsia" w:ascii="宋体" w:hAnsi="宋体" w:cs="宋体"/>
              </w:rPr>
              <w:t>比选申请人得分</w:t>
            </w:r>
          </w:p>
        </w:tc>
        <w:tc>
          <w:tcPr>
            <w:tcW w:w="5651" w:type="dxa"/>
            <w:gridSpan w:val="2"/>
            <w:vAlign w:val="center"/>
          </w:tcPr>
          <w:p>
            <w:pPr>
              <w:spacing w:line="400" w:lineRule="exact"/>
              <w:ind w:firstLine="420" w:firstLineChars="200"/>
              <w:jc w:val="center"/>
              <w:rPr>
                <w:rFonts w:ascii="宋体" w:hAnsi="宋体" w:cs="宋体"/>
              </w:rPr>
            </w:pPr>
            <w:r>
              <w:rPr>
                <w:rFonts w:hint="eastAsia" w:ascii="宋体" w:hAnsi="宋体" w:cs="宋体"/>
              </w:rPr>
              <w:t>比选申请人得分=A+B+C</w:t>
            </w:r>
          </w:p>
        </w:tc>
      </w:tr>
      <w:bookmarkEnd w:id="24"/>
    </w:tbl>
    <w:p>
      <w:pPr>
        <w:spacing w:line="360" w:lineRule="auto"/>
        <w:rPr>
          <w:rFonts w:ascii="宋体" w:hAnsi="宋体" w:cs="宋体"/>
        </w:rPr>
      </w:pPr>
    </w:p>
    <w:p>
      <w:pPr>
        <w:spacing w:line="360" w:lineRule="auto"/>
        <w:rPr>
          <w:rFonts w:ascii="宋体"/>
        </w:rPr>
      </w:pPr>
      <w:r>
        <w:rPr>
          <w:rFonts w:hint="eastAsia" w:ascii="宋体" w:hAnsi="宋体" w:cs="宋体"/>
          <w:b/>
          <w:bCs/>
        </w:rPr>
        <w:t>十、否决比选申请文件及重新选择中选单位说明</w:t>
      </w:r>
    </w:p>
    <w:p>
      <w:pPr>
        <w:spacing w:line="360" w:lineRule="auto"/>
        <w:ind w:firstLine="315" w:firstLineChars="150"/>
        <w:rPr>
          <w:rFonts w:ascii="宋体" w:hAnsi="宋体" w:cs="宋体"/>
        </w:rPr>
      </w:pPr>
      <w:r>
        <w:rPr>
          <w:rFonts w:hint="eastAsia" w:ascii="宋体" w:hAnsi="宋体" w:cs="宋体"/>
        </w:rPr>
        <w:t>在合作期间，若中选单位不能按照比选文件或合同约定履约、自动退出的，我公司将解除合同。同时依法组织重新比选。</w:t>
      </w:r>
    </w:p>
    <w:p>
      <w:pPr>
        <w:spacing w:line="360" w:lineRule="auto"/>
        <w:rPr>
          <w:rFonts w:ascii="宋体" w:hAnsi="宋体" w:cs="宋体"/>
        </w:rPr>
      </w:pPr>
      <w:r>
        <w:rPr>
          <w:rFonts w:hint="eastAsia" w:ascii="宋体" w:hAnsi="宋体" w:cs="宋体"/>
          <w:b/>
          <w:bCs/>
        </w:rPr>
        <w:t>十一、合同的签订</w:t>
      </w:r>
    </w:p>
    <w:p>
      <w:pPr>
        <w:spacing w:line="360" w:lineRule="auto"/>
        <w:ind w:firstLine="420" w:firstLineChars="200"/>
        <w:rPr>
          <w:rFonts w:ascii="宋体"/>
        </w:rPr>
      </w:pPr>
      <w:r>
        <w:rPr>
          <w:rFonts w:hint="eastAsia" w:ascii="宋体" w:hAnsi="宋体" w:cs="宋体"/>
        </w:rPr>
        <w:t>中选人应当自中选通知书签章起</w:t>
      </w:r>
      <w:r>
        <w:rPr>
          <w:rFonts w:ascii="宋体" w:hAnsi="宋体" w:cs="宋体"/>
        </w:rPr>
        <w:t>15</w:t>
      </w:r>
      <w:r>
        <w:rPr>
          <w:rFonts w:hint="eastAsia" w:ascii="宋体" w:hAnsi="宋体" w:cs="宋体"/>
        </w:rPr>
        <w:t>天内按比选文件合同模板和中选人的比选申请文件内容与比选人签订书面合同。中选人无正当理由拒签合同的或因中选人原因未在规定时间内签定合同的，比选人取消其中选资格，给比选人造成损失的，中选人还应当予以赔偿。如中选人未签订合同，比选人将依法组织重新比选。</w:t>
      </w:r>
    </w:p>
    <w:p>
      <w:pPr>
        <w:spacing w:line="360" w:lineRule="auto"/>
        <w:rPr>
          <w:rFonts w:ascii="宋体"/>
        </w:rPr>
      </w:pPr>
      <w:r>
        <w:rPr>
          <w:rFonts w:hint="eastAsia" w:ascii="宋体" w:hAnsi="宋体" w:cs="宋体"/>
          <w:b/>
          <w:bCs/>
        </w:rPr>
        <w:t>十二、重新比选和不再比选</w:t>
      </w:r>
    </w:p>
    <w:p>
      <w:pPr>
        <w:spacing w:line="360" w:lineRule="auto"/>
        <w:ind w:firstLine="315" w:firstLineChars="150"/>
        <w:rPr>
          <w:rFonts w:ascii="宋体"/>
        </w:rPr>
      </w:pPr>
      <w:bookmarkStart w:id="25" w:name="_Toc200513170"/>
      <w:r>
        <w:rPr>
          <w:rFonts w:ascii="宋体" w:hAnsi="宋体" w:cs="宋体"/>
        </w:rPr>
        <w:t>1</w:t>
      </w:r>
      <w:r>
        <w:rPr>
          <w:rFonts w:hint="eastAsia" w:ascii="宋体" w:hAnsi="宋体" w:cs="宋体"/>
        </w:rPr>
        <w:t>、重新</w:t>
      </w:r>
      <w:bookmarkEnd w:id="25"/>
      <w:r>
        <w:rPr>
          <w:rFonts w:hint="eastAsia" w:ascii="宋体" w:hAnsi="宋体" w:cs="宋体"/>
        </w:rPr>
        <w:t>比选</w:t>
      </w:r>
    </w:p>
    <w:p>
      <w:pPr>
        <w:spacing w:line="360" w:lineRule="auto"/>
        <w:ind w:firstLine="315" w:firstLineChars="150"/>
        <w:rPr>
          <w:rFonts w:ascii="宋体"/>
        </w:rPr>
      </w:pPr>
      <w:r>
        <w:rPr>
          <w:rFonts w:hint="eastAsia" w:ascii="宋体" w:hAnsi="宋体" w:cs="宋体"/>
        </w:rPr>
        <w:t>有下列情形之一的，比选人将重新进行竞争性比选：</w:t>
      </w:r>
    </w:p>
    <w:p>
      <w:pPr>
        <w:spacing w:line="360" w:lineRule="auto"/>
        <w:ind w:firstLine="210" w:firstLineChars="100"/>
        <w:rPr>
          <w:rFonts w:ascii="宋体"/>
        </w:rPr>
      </w:pPr>
      <w:r>
        <w:rPr>
          <w:rFonts w:hint="eastAsia" w:ascii="宋体" w:hAnsi="宋体" w:cs="宋体"/>
        </w:rPr>
        <w:t>（</w:t>
      </w:r>
      <w:r>
        <w:rPr>
          <w:rFonts w:ascii="宋体" w:hAnsi="宋体" w:cs="宋体"/>
        </w:rPr>
        <w:t>1</w:t>
      </w:r>
      <w:r>
        <w:rPr>
          <w:rFonts w:hint="eastAsia" w:ascii="宋体" w:hAnsi="宋体" w:cs="宋体"/>
        </w:rPr>
        <w:t>）</w:t>
      </w:r>
      <w:bookmarkStart w:id="26" w:name="_Toc200513171"/>
      <w:r>
        <w:rPr>
          <w:rFonts w:hint="eastAsia" w:ascii="宋体" w:hAnsi="宋体" w:cs="宋体"/>
        </w:rPr>
        <w:t>比选截止时间止，比选申请人少于</w:t>
      </w:r>
      <w:r>
        <w:rPr>
          <w:rFonts w:ascii="宋体" w:hAnsi="宋体" w:cs="宋体"/>
        </w:rPr>
        <w:t>3</w:t>
      </w:r>
      <w:r>
        <w:rPr>
          <w:rFonts w:hint="eastAsia" w:ascii="宋体" w:hAnsi="宋体" w:cs="宋体"/>
        </w:rPr>
        <w:t>个的；</w:t>
      </w:r>
    </w:p>
    <w:p>
      <w:pPr>
        <w:spacing w:line="360" w:lineRule="auto"/>
        <w:ind w:firstLine="210" w:firstLineChars="100"/>
        <w:rPr>
          <w:rFonts w:ascii="宋体"/>
        </w:rPr>
      </w:pPr>
      <w:r>
        <w:rPr>
          <w:rFonts w:hint="eastAsia" w:ascii="宋体" w:hAnsi="宋体" w:cs="宋体"/>
        </w:rPr>
        <w:t>（</w:t>
      </w:r>
      <w:r>
        <w:rPr>
          <w:rFonts w:ascii="宋体" w:hAnsi="宋体" w:cs="宋体"/>
        </w:rPr>
        <w:t>2</w:t>
      </w:r>
      <w:r>
        <w:rPr>
          <w:rFonts w:hint="eastAsia" w:ascii="宋体" w:hAnsi="宋体" w:cs="宋体"/>
        </w:rPr>
        <w:t>）经评审委员会评审后否决所有比选申请的。</w:t>
      </w:r>
    </w:p>
    <w:p>
      <w:pPr>
        <w:spacing w:line="360" w:lineRule="auto"/>
        <w:ind w:firstLine="210" w:firstLineChars="100"/>
        <w:rPr>
          <w:rFonts w:ascii="宋体"/>
        </w:rPr>
      </w:pPr>
      <w:r>
        <w:rPr>
          <w:rFonts w:hint="eastAsia" w:ascii="宋体" w:hAnsi="宋体" w:cs="宋体"/>
        </w:rPr>
        <w:t>（</w:t>
      </w:r>
      <w:r>
        <w:rPr>
          <w:rFonts w:ascii="宋体" w:hAnsi="宋体" w:cs="宋体"/>
        </w:rPr>
        <w:t>3</w:t>
      </w:r>
      <w:r>
        <w:rPr>
          <w:rFonts w:hint="eastAsia" w:ascii="宋体" w:hAnsi="宋体" w:cs="宋体"/>
        </w:rPr>
        <w:t>）经评审后，如合格的比选申请人少于三个的，且明显缺乏竞争的，评审委员会可以否决全部比选申请，比选人将重新组织比选；</w:t>
      </w:r>
    </w:p>
    <w:p>
      <w:pPr>
        <w:spacing w:line="360" w:lineRule="auto"/>
        <w:ind w:firstLine="210" w:firstLineChars="100"/>
        <w:rPr>
          <w:rFonts w:ascii="宋体"/>
        </w:rPr>
      </w:pPr>
      <w:r>
        <w:rPr>
          <w:rFonts w:hint="eastAsia" w:ascii="宋体" w:hAnsi="宋体" w:cs="宋体"/>
        </w:rPr>
        <w:t>（</w:t>
      </w:r>
      <w:r>
        <w:rPr>
          <w:rFonts w:ascii="宋体" w:hAnsi="宋体" w:cs="宋体"/>
        </w:rPr>
        <w:t>4</w:t>
      </w:r>
      <w:r>
        <w:rPr>
          <w:rFonts w:hint="eastAsia" w:ascii="宋体" w:hAnsi="宋体" w:cs="宋体"/>
        </w:rPr>
        <w:t>）法律法规规定的其他情形。</w:t>
      </w:r>
      <w:bookmarkEnd w:id="26"/>
    </w:p>
    <w:p>
      <w:pPr>
        <w:spacing w:line="360" w:lineRule="auto"/>
        <w:ind w:firstLine="210" w:firstLineChars="100"/>
        <w:rPr>
          <w:rFonts w:ascii="宋体"/>
        </w:rPr>
      </w:pPr>
      <w:r>
        <w:rPr>
          <w:rFonts w:ascii="宋体" w:hAnsi="宋体" w:cs="宋体"/>
        </w:rPr>
        <w:t>2</w:t>
      </w:r>
      <w:r>
        <w:rPr>
          <w:rFonts w:hint="eastAsia" w:ascii="宋体" w:hAnsi="宋体" w:cs="宋体"/>
        </w:rPr>
        <w:t>、重新比选和不再比选</w:t>
      </w:r>
    </w:p>
    <w:p>
      <w:pPr>
        <w:spacing w:line="360" w:lineRule="auto"/>
        <w:ind w:firstLine="420" w:firstLineChars="200"/>
        <w:rPr>
          <w:rFonts w:ascii="宋体" w:hAnsi="宋体" w:cs="宋体"/>
        </w:rPr>
      </w:pPr>
      <w:r>
        <w:rPr>
          <w:rFonts w:hint="eastAsia" w:ascii="宋体" w:hAnsi="宋体" w:cs="宋体"/>
        </w:rPr>
        <w:t>重新比选后比选申请人仍少于</w:t>
      </w:r>
      <w:r>
        <w:rPr>
          <w:rFonts w:ascii="宋体" w:hAnsi="宋体" w:cs="宋体"/>
        </w:rPr>
        <w:t>3</w:t>
      </w:r>
      <w:r>
        <w:rPr>
          <w:rFonts w:hint="eastAsia" w:ascii="宋体" w:hAnsi="宋体" w:cs="宋体"/>
        </w:rPr>
        <w:t>个，按法定程序开标和评审，确定中选人。经评审无合格比选申请人，经比选人审批或者核准后不再进行比选。</w:t>
      </w:r>
    </w:p>
    <w:p>
      <w:pPr>
        <w:pStyle w:val="13"/>
        <w:spacing w:line="360" w:lineRule="auto"/>
        <w:ind w:firstLine="0" w:firstLineChars="0"/>
        <w:rPr>
          <w:b/>
          <w:bCs/>
          <w:sz w:val="21"/>
          <w:szCs w:val="21"/>
        </w:rPr>
      </w:pPr>
      <w:r>
        <w:rPr>
          <w:rFonts w:hint="eastAsia"/>
          <w:b/>
          <w:bCs/>
          <w:sz w:val="21"/>
          <w:szCs w:val="21"/>
        </w:rPr>
        <w:t>十三、代理服务费</w:t>
      </w:r>
    </w:p>
    <w:p>
      <w:pPr>
        <w:pStyle w:val="13"/>
        <w:spacing w:line="360" w:lineRule="auto"/>
        <w:rPr>
          <w:sz w:val="21"/>
          <w:szCs w:val="21"/>
        </w:rPr>
      </w:pPr>
      <w:r>
        <w:rPr>
          <w:rFonts w:hint="eastAsia"/>
          <w:sz w:val="21"/>
          <w:szCs w:val="21"/>
        </w:rPr>
        <w:t>本项目代理服务费为定额1万元，由中选人在领取中选通知书前一次性向代理机构缴纳。</w:t>
      </w:r>
    </w:p>
    <w:p>
      <w:pPr>
        <w:spacing w:line="360" w:lineRule="auto"/>
        <w:rPr>
          <w:rFonts w:ascii="宋体"/>
        </w:rPr>
      </w:pPr>
    </w:p>
    <w:p>
      <w:pPr>
        <w:spacing w:line="360" w:lineRule="auto"/>
        <w:rPr>
          <w:rFonts w:ascii="宋体"/>
        </w:rPr>
      </w:pPr>
    </w:p>
    <w:p>
      <w:pPr>
        <w:spacing w:line="360" w:lineRule="auto"/>
        <w:rPr>
          <w:rFonts w:ascii="宋体"/>
        </w:rPr>
      </w:pPr>
    </w:p>
    <w:p>
      <w:pPr>
        <w:pStyle w:val="5"/>
        <w:spacing w:line="360" w:lineRule="auto"/>
        <w:rPr>
          <w:rFonts w:ascii="宋体"/>
          <w:sz w:val="24"/>
          <w:szCs w:val="24"/>
        </w:rPr>
      </w:pPr>
    </w:p>
    <w:p>
      <w:pPr>
        <w:pStyle w:val="11"/>
        <w:ind w:firstLine="0"/>
        <w:rPr>
          <w:b/>
          <w:bCs/>
        </w:rPr>
      </w:pPr>
    </w:p>
    <w:p>
      <w:pPr>
        <w:snapToGrid w:val="0"/>
        <w:spacing w:line="360" w:lineRule="auto"/>
        <w:outlineLvl w:val="0"/>
        <w:rPr>
          <w:rFonts w:ascii="宋体" w:hAnsi="宋体" w:cs="宋体"/>
          <w:b/>
          <w:bCs/>
          <w:sz w:val="28"/>
          <w:szCs w:val="28"/>
        </w:rPr>
      </w:pPr>
    </w:p>
    <w:p>
      <w:pPr>
        <w:pStyle w:val="5"/>
        <w:rPr>
          <w:rFonts w:ascii="宋体" w:hAnsi="宋体" w:cs="宋体"/>
          <w:sz w:val="28"/>
          <w:szCs w:val="28"/>
        </w:rPr>
      </w:pPr>
    </w:p>
    <w:p>
      <w:pPr>
        <w:rPr>
          <w:rFonts w:ascii="宋体" w:hAnsi="宋体" w:cs="宋体"/>
          <w:b/>
          <w:bCs/>
          <w:sz w:val="28"/>
          <w:szCs w:val="28"/>
        </w:rPr>
      </w:pPr>
    </w:p>
    <w:p>
      <w:pPr>
        <w:pStyle w:val="5"/>
        <w:rPr>
          <w:rFonts w:ascii="宋体" w:hAnsi="宋体" w:cs="宋体"/>
          <w:sz w:val="28"/>
          <w:szCs w:val="28"/>
        </w:rPr>
      </w:pPr>
    </w:p>
    <w:p>
      <w:pPr>
        <w:rPr>
          <w:rFonts w:ascii="宋体" w:hAnsi="宋体" w:cs="宋体"/>
          <w:b/>
          <w:bCs/>
          <w:sz w:val="28"/>
          <w:szCs w:val="28"/>
        </w:rPr>
      </w:pPr>
    </w:p>
    <w:p>
      <w:pPr>
        <w:pStyle w:val="5"/>
        <w:rPr>
          <w:rFonts w:ascii="宋体" w:hAnsi="宋体" w:cs="宋体"/>
          <w:sz w:val="28"/>
          <w:szCs w:val="28"/>
        </w:rPr>
      </w:pPr>
    </w:p>
    <w:p>
      <w:pPr>
        <w:rPr>
          <w:rFonts w:ascii="宋体" w:hAnsi="宋体" w:cs="宋体"/>
          <w:b/>
          <w:bCs/>
          <w:sz w:val="28"/>
          <w:szCs w:val="28"/>
        </w:rPr>
      </w:pPr>
    </w:p>
    <w:p>
      <w:pPr>
        <w:pStyle w:val="5"/>
        <w:rPr>
          <w:rFonts w:ascii="宋体" w:hAnsi="宋体" w:cs="宋体"/>
          <w:sz w:val="28"/>
          <w:szCs w:val="28"/>
        </w:rPr>
      </w:pPr>
    </w:p>
    <w:p>
      <w:pPr>
        <w:rPr>
          <w:rFonts w:ascii="宋体" w:hAnsi="宋体" w:cs="宋体"/>
          <w:b/>
          <w:bCs/>
          <w:sz w:val="28"/>
          <w:szCs w:val="28"/>
        </w:rPr>
      </w:pPr>
    </w:p>
    <w:p>
      <w:pPr>
        <w:pStyle w:val="5"/>
        <w:rPr>
          <w:rFonts w:ascii="宋体" w:hAnsi="宋体" w:cs="宋体"/>
          <w:sz w:val="28"/>
          <w:szCs w:val="28"/>
        </w:rPr>
      </w:pPr>
    </w:p>
    <w:p>
      <w:pPr>
        <w:rPr>
          <w:rFonts w:ascii="宋体" w:hAnsi="宋体" w:cs="宋体"/>
          <w:b/>
          <w:bCs/>
          <w:sz w:val="28"/>
          <w:szCs w:val="28"/>
        </w:rPr>
      </w:pPr>
    </w:p>
    <w:p>
      <w:pPr>
        <w:pStyle w:val="5"/>
        <w:rPr>
          <w:rFonts w:ascii="宋体" w:hAnsi="宋体" w:cs="宋体"/>
          <w:sz w:val="28"/>
          <w:szCs w:val="28"/>
        </w:rPr>
      </w:pPr>
    </w:p>
    <w:p>
      <w:pPr>
        <w:rPr>
          <w:rFonts w:ascii="宋体" w:hAnsi="宋体" w:cs="宋体"/>
          <w:b/>
          <w:bCs/>
          <w:sz w:val="28"/>
          <w:szCs w:val="28"/>
        </w:rPr>
      </w:pPr>
    </w:p>
    <w:p/>
    <w:p>
      <w:pPr>
        <w:snapToGrid w:val="0"/>
        <w:spacing w:line="360" w:lineRule="auto"/>
        <w:ind w:firstLine="630" w:firstLineChars="224"/>
        <w:jc w:val="center"/>
        <w:outlineLvl w:val="0"/>
        <w:rPr>
          <w:rFonts w:ascii="宋体" w:hAnsi="宋体" w:cs="宋体"/>
          <w:b/>
          <w:bCs/>
          <w:sz w:val="28"/>
          <w:szCs w:val="28"/>
        </w:rPr>
      </w:pPr>
    </w:p>
    <w:p>
      <w:pPr>
        <w:snapToGrid w:val="0"/>
        <w:spacing w:line="360" w:lineRule="auto"/>
        <w:ind w:firstLine="630" w:firstLineChars="224"/>
        <w:jc w:val="center"/>
        <w:outlineLvl w:val="0"/>
        <w:rPr>
          <w:rFonts w:ascii="宋体" w:hAnsi="宋体" w:cs="宋体"/>
          <w:b/>
          <w:bCs/>
          <w:sz w:val="28"/>
          <w:szCs w:val="28"/>
        </w:rPr>
      </w:pPr>
      <w:bookmarkStart w:id="27" w:name="_Toc120633479"/>
    </w:p>
    <w:p>
      <w:pPr>
        <w:snapToGrid w:val="0"/>
        <w:spacing w:line="360" w:lineRule="auto"/>
        <w:ind w:firstLine="630" w:firstLineChars="224"/>
        <w:jc w:val="center"/>
        <w:outlineLvl w:val="0"/>
        <w:rPr>
          <w:rFonts w:ascii="宋体" w:hAnsi="宋体" w:cs="宋体"/>
          <w:b/>
          <w:bCs/>
          <w:sz w:val="28"/>
          <w:szCs w:val="28"/>
        </w:rPr>
      </w:pPr>
    </w:p>
    <w:p>
      <w:pPr>
        <w:snapToGrid w:val="0"/>
        <w:spacing w:line="360" w:lineRule="auto"/>
        <w:ind w:firstLine="630" w:firstLineChars="224"/>
        <w:jc w:val="center"/>
        <w:outlineLvl w:val="0"/>
        <w:rPr>
          <w:rFonts w:ascii="宋体"/>
          <w:b/>
          <w:bCs/>
          <w:sz w:val="28"/>
          <w:szCs w:val="28"/>
        </w:rPr>
      </w:pPr>
      <w:r>
        <w:rPr>
          <w:rFonts w:hint="eastAsia" w:ascii="宋体" w:hAnsi="宋体" w:cs="宋体"/>
          <w:b/>
          <w:bCs/>
          <w:sz w:val="28"/>
          <w:szCs w:val="28"/>
        </w:rPr>
        <w:t>第三部分  比选申请文件格式</w:t>
      </w:r>
      <w:bookmarkEnd w:id="27"/>
    </w:p>
    <w:p>
      <w:pPr>
        <w:snapToGrid w:val="0"/>
        <w:spacing w:line="360" w:lineRule="auto"/>
        <w:ind w:firstLine="472" w:firstLineChars="224"/>
        <w:jc w:val="center"/>
        <w:rPr>
          <w:rFonts w:ascii="宋体"/>
          <w:b/>
          <w:bCs/>
        </w:rPr>
      </w:pPr>
      <w:r>
        <w:rPr>
          <w:rFonts w:ascii="宋体"/>
          <w:b/>
          <w:bCs/>
        </w:rPr>
        <w:br w:type="page"/>
      </w:r>
    </w:p>
    <w:p>
      <w:pPr>
        <w:spacing w:line="360" w:lineRule="auto"/>
        <w:jc w:val="left"/>
        <w:outlineLvl w:val="1"/>
        <w:rPr>
          <w:rFonts w:ascii="宋体"/>
          <w:sz w:val="28"/>
          <w:szCs w:val="28"/>
        </w:rPr>
      </w:pPr>
      <w:bookmarkStart w:id="28" w:name="_Toc10647"/>
      <w:bookmarkStart w:id="29" w:name="_Toc120633480"/>
      <w:bookmarkStart w:id="30" w:name="_Toc3512"/>
      <w:r>
        <w:rPr>
          <w:rFonts w:ascii="宋体" w:hAnsi="宋体" w:cs="宋体"/>
          <w:b/>
          <w:bCs/>
          <w:sz w:val="28"/>
          <w:szCs w:val="28"/>
        </w:rPr>
        <w:t>(</w:t>
      </w:r>
      <w:r>
        <w:rPr>
          <w:rFonts w:hint="eastAsia" w:ascii="宋体" w:hAnsi="宋体" w:cs="宋体"/>
          <w:b/>
          <w:bCs/>
          <w:sz w:val="28"/>
          <w:szCs w:val="28"/>
        </w:rPr>
        <w:t>正</w:t>
      </w:r>
      <w:r>
        <w:rPr>
          <w:rFonts w:ascii="宋体" w:hAnsi="宋体" w:cs="宋体"/>
          <w:b/>
          <w:bCs/>
          <w:sz w:val="28"/>
          <w:szCs w:val="28"/>
        </w:rPr>
        <w:t>/</w:t>
      </w:r>
      <w:r>
        <w:rPr>
          <w:rFonts w:hint="eastAsia" w:ascii="宋体" w:hAnsi="宋体" w:cs="宋体"/>
          <w:b/>
          <w:bCs/>
          <w:sz w:val="28"/>
          <w:szCs w:val="28"/>
        </w:rPr>
        <w:t>副本</w:t>
      </w:r>
      <w:r>
        <w:rPr>
          <w:rFonts w:ascii="宋体" w:hAnsi="宋体" w:cs="宋体"/>
          <w:b/>
          <w:bCs/>
          <w:sz w:val="28"/>
          <w:szCs w:val="28"/>
        </w:rPr>
        <w:t>)</w:t>
      </w:r>
      <w:bookmarkEnd w:id="28"/>
      <w:bookmarkEnd w:id="29"/>
      <w:bookmarkEnd w:id="30"/>
    </w:p>
    <w:p>
      <w:pPr>
        <w:spacing w:line="360" w:lineRule="auto"/>
        <w:jc w:val="left"/>
        <w:rPr>
          <w:rFonts w:ascii="宋体"/>
          <w:sz w:val="32"/>
          <w:szCs w:val="32"/>
        </w:rPr>
      </w:pPr>
    </w:p>
    <w:p>
      <w:pPr>
        <w:spacing w:line="360" w:lineRule="auto"/>
        <w:jc w:val="left"/>
        <w:rPr>
          <w:rFonts w:ascii="宋体"/>
          <w:sz w:val="32"/>
          <w:szCs w:val="32"/>
        </w:rPr>
      </w:pPr>
    </w:p>
    <w:p>
      <w:pPr>
        <w:spacing w:line="360" w:lineRule="auto"/>
        <w:jc w:val="left"/>
        <w:rPr>
          <w:rFonts w:ascii="宋体"/>
          <w:sz w:val="28"/>
          <w:szCs w:val="28"/>
        </w:rPr>
      </w:pPr>
    </w:p>
    <w:p>
      <w:pPr>
        <w:spacing w:line="360" w:lineRule="auto"/>
        <w:jc w:val="center"/>
        <w:outlineLvl w:val="1"/>
        <w:rPr>
          <w:rFonts w:ascii="宋体"/>
          <w:sz w:val="28"/>
          <w:szCs w:val="28"/>
        </w:rPr>
      </w:pPr>
      <w:bookmarkStart w:id="31" w:name="_Toc14951"/>
      <w:bookmarkStart w:id="32" w:name="_Toc120633481"/>
      <w:bookmarkStart w:id="33" w:name="_Toc584"/>
      <w:r>
        <w:rPr>
          <w:rFonts w:hint="eastAsia" w:ascii="宋体" w:hAnsi="宋体" w:cs="宋体"/>
          <w:b/>
          <w:bCs/>
          <w:sz w:val="72"/>
          <w:szCs w:val="72"/>
        </w:rPr>
        <w:t>比选申请文件</w:t>
      </w:r>
      <w:bookmarkEnd w:id="31"/>
      <w:bookmarkEnd w:id="32"/>
      <w:bookmarkEnd w:id="33"/>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ind w:firstLine="1120" w:firstLineChars="400"/>
        <w:outlineLvl w:val="1"/>
        <w:rPr>
          <w:rFonts w:ascii="宋体"/>
          <w:sz w:val="28"/>
          <w:szCs w:val="28"/>
          <w:u w:val="single"/>
        </w:rPr>
      </w:pPr>
      <w:bookmarkStart w:id="34" w:name="_Toc120633482"/>
      <w:bookmarkStart w:id="35" w:name="_Toc19213"/>
      <w:bookmarkStart w:id="36" w:name="_Toc15178"/>
      <w:r>
        <w:rPr>
          <w:rFonts w:hint="eastAsia" w:ascii="宋体" w:hAnsi="宋体" w:cs="宋体"/>
          <w:sz w:val="28"/>
          <w:szCs w:val="28"/>
        </w:rPr>
        <w:t>项目名称：</w:t>
      </w:r>
      <w:bookmarkEnd w:id="34"/>
      <w:bookmarkEnd w:id="35"/>
      <w:bookmarkEnd w:id="36"/>
    </w:p>
    <w:p>
      <w:pPr>
        <w:spacing w:line="360" w:lineRule="auto"/>
        <w:ind w:firstLine="1120" w:firstLineChars="400"/>
        <w:rPr>
          <w:rFonts w:ascii="宋体"/>
          <w:sz w:val="28"/>
          <w:szCs w:val="28"/>
          <w:u w:val="single"/>
        </w:rPr>
      </w:pPr>
    </w:p>
    <w:p>
      <w:pPr>
        <w:spacing w:line="360" w:lineRule="auto"/>
        <w:ind w:firstLine="1120" w:firstLineChars="400"/>
        <w:outlineLvl w:val="1"/>
        <w:rPr>
          <w:rFonts w:ascii="宋体"/>
          <w:sz w:val="28"/>
          <w:szCs w:val="28"/>
          <w:u w:val="single"/>
        </w:rPr>
      </w:pPr>
      <w:bookmarkStart w:id="37" w:name="_Toc120633483"/>
      <w:bookmarkStart w:id="38" w:name="_Toc21195"/>
      <w:bookmarkStart w:id="39" w:name="_Toc17622"/>
      <w:r>
        <w:rPr>
          <w:rFonts w:hint="eastAsia" w:ascii="宋体" w:hAnsi="宋体" w:cs="宋体"/>
          <w:sz w:val="28"/>
          <w:szCs w:val="28"/>
        </w:rPr>
        <w:t>比选申请人</w:t>
      </w:r>
      <w:r>
        <w:rPr>
          <w:rFonts w:ascii="宋体" w:hAnsi="宋体" w:cs="宋体"/>
          <w:sz w:val="28"/>
          <w:szCs w:val="28"/>
        </w:rPr>
        <w:t>:</w:t>
      </w:r>
      <w:r>
        <w:rPr>
          <w:rFonts w:hint="eastAsia" w:ascii="宋体" w:hAnsi="宋体" w:cs="宋体"/>
          <w:sz w:val="28"/>
          <w:szCs w:val="28"/>
          <w:u w:val="single"/>
        </w:rPr>
        <w:t>（盖章）</w:t>
      </w:r>
      <w:bookmarkEnd w:id="37"/>
      <w:bookmarkEnd w:id="38"/>
      <w:bookmarkEnd w:id="39"/>
    </w:p>
    <w:p>
      <w:pPr>
        <w:spacing w:line="360" w:lineRule="auto"/>
        <w:ind w:firstLine="1120" w:firstLineChars="400"/>
        <w:rPr>
          <w:rFonts w:ascii="宋体"/>
          <w:sz w:val="28"/>
          <w:szCs w:val="28"/>
          <w:u w:val="single"/>
        </w:rPr>
      </w:pPr>
    </w:p>
    <w:p>
      <w:pPr>
        <w:spacing w:line="360" w:lineRule="auto"/>
        <w:ind w:firstLine="1120" w:firstLineChars="400"/>
        <w:jc w:val="left"/>
        <w:outlineLvl w:val="1"/>
        <w:rPr>
          <w:rFonts w:ascii="宋体"/>
          <w:sz w:val="28"/>
          <w:szCs w:val="28"/>
          <w:u w:val="single"/>
        </w:rPr>
      </w:pPr>
      <w:bookmarkStart w:id="40" w:name="_Toc120633484"/>
      <w:bookmarkStart w:id="41" w:name="_Toc20741"/>
      <w:bookmarkStart w:id="42" w:name="_Toc21790"/>
      <w:r>
        <w:rPr>
          <w:rFonts w:hint="eastAsia" w:ascii="宋体" w:hAnsi="宋体" w:cs="宋体"/>
          <w:sz w:val="28"/>
          <w:szCs w:val="28"/>
        </w:rPr>
        <w:t>法定代表人或其委托代理人</w:t>
      </w:r>
      <w:r>
        <w:rPr>
          <w:rFonts w:ascii="宋体" w:hAnsi="宋体" w:cs="宋体"/>
          <w:sz w:val="28"/>
          <w:szCs w:val="28"/>
        </w:rPr>
        <w:t>:</w:t>
      </w:r>
      <w:r>
        <w:rPr>
          <w:rFonts w:hint="eastAsia" w:ascii="宋体" w:hAnsi="宋体" w:cs="宋体"/>
          <w:sz w:val="28"/>
          <w:szCs w:val="28"/>
          <w:u w:val="single"/>
        </w:rPr>
        <w:t>　　　　　（签名或盖章）</w:t>
      </w:r>
      <w:bookmarkEnd w:id="40"/>
      <w:bookmarkEnd w:id="41"/>
      <w:bookmarkEnd w:id="42"/>
    </w:p>
    <w:p>
      <w:pPr>
        <w:spacing w:line="360" w:lineRule="auto"/>
        <w:ind w:firstLine="1120" w:firstLineChars="400"/>
        <w:jc w:val="left"/>
        <w:rPr>
          <w:rFonts w:ascii="宋体"/>
          <w:sz w:val="28"/>
          <w:szCs w:val="28"/>
        </w:rPr>
      </w:pPr>
    </w:p>
    <w:p>
      <w:pPr>
        <w:spacing w:line="360" w:lineRule="auto"/>
        <w:ind w:firstLine="1120" w:firstLineChars="400"/>
        <w:outlineLvl w:val="1"/>
        <w:rPr>
          <w:rFonts w:ascii="宋体"/>
          <w:sz w:val="28"/>
          <w:szCs w:val="28"/>
          <w:u w:val="single"/>
        </w:rPr>
      </w:pPr>
      <w:bookmarkStart w:id="43" w:name="_Toc120633485"/>
      <w:bookmarkStart w:id="44" w:name="_Toc2482"/>
      <w:bookmarkStart w:id="45" w:name="_Toc627"/>
      <w:r>
        <w:rPr>
          <w:rFonts w:hint="eastAsia" w:ascii="宋体" w:hAnsi="宋体" w:cs="宋体"/>
          <w:sz w:val="28"/>
          <w:szCs w:val="28"/>
        </w:rPr>
        <w:t>地址：</w:t>
      </w:r>
      <w:bookmarkEnd w:id="43"/>
      <w:bookmarkEnd w:id="44"/>
      <w:bookmarkEnd w:id="45"/>
    </w:p>
    <w:p>
      <w:pPr>
        <w:spacing w:line="360" w:lineRule="auto"/>
        <w:ind w:firstLine="1120" w:firstLineChars="400"/>
        <w:rPr>
          <w:rFonts w:ascii="宋体"/>
          <w:sz w:val="28"/>
          <w:szCs w:val="28"/>
          <w:u w:val="single"/>
        </w:rPr>
      </w:pPr>
    </w:p>
    <w:p>
      <w:pPr>
        <w:snapToGrid w:val="0"/>
        <w:spacing w:line="360" w:lineRule="auto"/>
        <w:ind w:firstLine="1184" w:firstLineChars="423"/>
        <w:outlineLvl w:val="1"/>
        <w:rPr>
          <w:rFonts w:ascii="宋体"/>
          <w:b/>
          <w:bCs/>
        </w:rPr>
      </w:pPr>
      <w:bookmarkStart w:id="46" w:name="_Toc120633486"/>
      <w:bookmarkStart w:id="47" w:name="_Toc237"/>
      <w:bookmarkStart w:id="48" w:name="_Toc6842"/>
      <w:r>
        <w:rPr>
          <w:rFonts w:hint="eastAsia" w:ascii="宋体" w:hAnsi="宋体" w:cs="宋体"/>
          <w:sz w:val="28"/>
          <w:szCs w:val="28"/>
        </w:rPr>
        <w:t>日期：  年   月   日</w:t>
      </w:r>
      <w:bookmarkEnd w:id="46"/>
      <w:r>
        <w:rPr>
          <w:rFonts w:ascii="宋体"/>
          <w:b/>
          <w:bCs/>
        </w:rPr>
        <w:br w:type="page"/>
      </w:r>
      <w:bookmarkEnd w:id="47"/>
      <w:bookmarkEnd w:id="48"/>
    </w:p>
    <w:p>
      <w:pPr>
        <w:spacing w:line="520" w:lineRule="exact"/>
        <w:jc w:val="center"/>
        <w:rPr>
          <w:rFonts w:ascii="宋体" w:hAnsi="宋体"/>
          <w:b/>
          <w:sz w:val="36"/>
          <w:szCs w:val="36"/>
        </w:rPr>
      </w:pPr>
      <w:bookmarkStart w:id="49" w:name="_Toc14319"/>
      <w:bookmarkStart w:id="50" w:name="_Toc534185832"/>
      <w:bookmarkStart w:id="51" w:name="_Toc509218855"/>
      <w:bookmarkStart w:id="52" w:name="_Toc219178931"/>
    </w:p>
    <w:p>
      <w:pPr>
        <w:spacing w:line="520" w:lineRule="exact"/>
        <w:jc w:val="center"/>
        <w:rPr>
          <w:b/>
          <w:snapToGrid w:val="0"/>
        </w:rPr>
      </w:pPr>
      <w:r>
        <w:rPr>
          <w:rFonts w:hint="eastAsia" w:ascii="宋体" w:hAnsi="宋体"/>
          <w:b/>
          <w:sz w:val="36"/>
          <w:szCs w:val="36"/>
        </w:rPr>
        <w:t>比选申请函</w:t>
      </w:r>
    </w:p>
    <w:p>
      <w:pPr>
        <w:tabs>
          <w:tab w:val="left" w:pos="7140"/>
          <w:tab w:val="left" w:pos="7560"/>
          <w:tab w:val="left" w:pos="8300"/>
        </w:tabs>
        <w:autoSpaceDE w:val="0"/>
        <w:autoSpaceDN w:val="0"/>
        <w:adjustRightInd w:val="0"/>
        <w:snapToGrid w:val="0"/>
        <w:spacing w:line="520" w:lineRule="exact"/>
        <w:ind w:right="210"/>
        <w:rPr>
          <w:rFonts w:ascii="宋体" w:hAnsi="宋体"/>
        </w:rPr>
      </w:pPr>
      <w:r>
        <w:rPr>
          <w:rFonts w:hint="eastAsia" w:ascii="宋体" w:hAnsi="宋体"/>
        </w:rPr>
        <w:t>致：</w:t>
      </w:r>
      <w:r>
        <w:rPr>
          <w:rFonts w:hint="eastAsia" w:ascii="宋体" w:hAnsi="宋体"/>
          <w:u w:val="single"/>
        </w:rPr>
        <w:t>重庆国际投资咨询集团有限公司</w:t>
      </w:r>
      <w:r>
        <w:rPr>
          <w:rFonts w:hint="eastAsia" w:ascii="宋体" w:hAnsi="宋体"/>
        </w:rPr>
        <w:t>（比选人名称）</w:t>
      </w:r>
    </w:p>
    <w:p>
      <w:pPr>
        <w:snapToGrid w:val="0"/>
        <w:spacing w:line="520" w:lineRule="exact"/>
        <w:ind w:firstLine="420" w:firstLineChars="200"/>
        <w:rPr>
          <w:rFonts w:ascii="宋体" w:hAnsi="宋体"/>
          <w:u w:val="single"/>
        </w:rPr>
      </w:pPr>
      <w:r>
        <w:rPr>
          <w:rFonts w:hint="eastAsia" w:ascii="宋体" w:hAnsi="宋体"/>
        </w:rPr>
        <w:t>1.我们已经仔细地研究了</w:t>
      </w:r>
      <w:r>
        <w:rPr>
          <w:rFonts w:hint="eastAsia" w:ascii="宋体" w:hAnsi="宋体" w:cs="宋体"/>
          <w:u w:val="single"/>
        </w:rPr>
        <w:t>2024年补充医疗保险项目采购</w:t>
      </w:r>
      <w:r>
        <w:rPr>
          <w:rFonts w:hint="eastAsia" w:ascii="宋体" w:hAnsi="宋体"/>
          <w:u w:val="single"/>
        </w:rPr>
        <w:t>（项目名称）</w:t>
      </w:r>
      <w:r>
        <w:rPr>
          <w:rFonts w:hint="eastAsia" w:ascii="宋体" w:hAnsi="宋体"/>
        </w:rPr>
        <w:t>的全部内容，包括但不限于比选文件、合同条款以及全部答疑补遗和澄清文件。我们已了解全部竞争性比选文件，并完全理解了竞争性比选文件规定的合同范围、工作要求，并考虑到了潜在所有风险。据此，我们承诺响应比选文件要求，在合同规定的范围内履行从合同签订、进场到合同执行完成的全部工作内容。</w:t>
      </w:r>
    </w:p>
    <w:p>
      <w:pPr>
        <w:spacing w:line="500" w:lineRule="exact"/>
        <w:rPr>
          <w:rFonts w:ascii="宋体" w:hAnsi="宋体"/>
        </w:rPr>
      </w:pPr>
      <w:r>
        <w:rPr>
          <w:rFonts w:hint="eastAsia" w:ascii="宋体" w:hAnsi="宋体"/>
        </w:rPr>
        <w:t xml:space="preserve">    2.据此，我方承诺本项目比选申请报价为：</w:t>
      </w:r>
      <w:r>
        <w:rPr>
          <w:rFonts w:hint="eastAsia"/>
        </w:rPr>
        <w:t>在职职工保费单价</w:t>
      </w:r>
      <w:r>
        <w:rPr>
          <w:rFonts w:hint="eastAsia" w:ascii="宋体" w:hAnsi="宋体" w:cs="宋体"/>
          <w:szCs w:val="28"/>
          <w:u w:val="single"/>
        </w:rPr>
        <w:t>：人民币       元</w:t>
      </w:r>
      <w:r>
        <w:rPr>
          <w:rFonts w:hint="eastAsia" w:ascii="宋体" w:hAnsi="宋体" w:cs="宋体"/>
          <w:szCs w:val="28"/>
        </w:rPr>
        <w:t>/</w:t>
      </w:r>
      <w:r>
        <w:rPr>
          <w:rFonts w:hint="eastAsia"/>
        </w:rPr>
        <w:t>人每年</w:t>
      </w:r>
      <w:r>
        <w:rPr>
          <w:rFonts w:hint="eastAsia" w:ascii="宋体" w:hAnsi="宋体" w:cs="宋体"/>
          <w:szCs w:val="28"/>
          <w:u w:val="single"/>
        </w:rPr>
        <w:t>（大写：  元</w:t>
      </w:r>
      <w:r>
        <w:rPr>
          <w:rFonts w:hint="eastAsia" w:ascii="宋体" w:hAnsi="宋体" w:cs="宋体"/>
          <w:szCs w:val="28"/>
        </w:rPr>
        <w:t>/</w:t>
      </w:r>
      <w:r>
        <w:rPr>
          <w:rFonts w:hint="eastAsia"/>
        </w:rPr>
        <w:t>人每年</w:t>
      </w:r>
      <w:r>
        <w:rPr>
          <w:rFonts w:hint="eastAsia" w:ascii="宋体" w:hAnsi="宋体" w:cs="宋体"/>
          <w:szCs w:val="28"/>
          <w:u w:val="single"/>
        </w:rPr>
        <w:t>）</w:t>
      </w:r>
      <w:r>
        <w:rPr>
          <w:rFonts w:hint="eastAsia"/>
        </w:rPr>
        <w:t>退休职工保费单价</w:t>
      </w:r>
      <w:r>
        <w:rPr>
          <w:rFonts w:hint="eastAsia" w:ascii="宋体" w:hAnsi="宋体" w:cs="宋体"/>
          <w:szCs w:val="28"/>
          <w:u w:val="single"/>
        </w:rPr>
        <w:t>：人民币       元</w:t>
      </w:r>
      <w:r>
        <w:rPr>
          <w:rFonts w:hint="eastAsia" w:ascii="宋体" w:hAnsi="宋体" w:cs="宋体"/>
          <w:szCs w:val="28"/>
        </w:rPr>
        <w:t>/</w:t>
      </w:r>
      <w:r>
        <w:rPr>
          <w:rFonts w:hint="eastAsia"/>
        </w:rPr>
        <w:t>人每年</w:t>
      </w:r>
      <w:r>
        <w:rPr>
          <w:rFonts w:hint="eastAsia" w:ascii="宋体" w:hAnsi="宋体" w:cs="宋体"/>
          <w:szCs w:val="28"/>
          <w:u w:val="single"/>
        </w:rPr>
        <w:t>（大写：  元</w:t>
      </w:r>
      <w:r>
        <w:rPr>
          <w:rFonts w:hint="eastAsia" w:ascii="宋体" w:hAnsi="宋体" w:cs="宋体"/>
          <w:szCs w:val="28"/>
        </w:rPr>
        <w:t>/</w:t>
      </w:r>
      <w:r>
        <w:rPr>
          <w:rFonts w:hint="eastAsia"/>
        </w:rPr>
        <w:t>人每年</w:t>
      </w:r>
      <w:r>
        <w:rPr>
          <w:rFonts w:hint="eastAsia" w:ascii="宋体" w:hAnsi="宋体" w:cs="宋体"/>
          <w:szCs w:val="28"/>
          <w:u w:val="single"/>
        </w:rPr>
        <w:t>）</w:t>
      </w:r>
      <w:r>
        <w:rPr>
          <w:rFonts w:hint="eastAsia" w:ascii="宋体" w:hAnsi="宋体"/>
        </w:rPr>
        <w:t>，</w:t>
      </w:r>
      <w:r>
        <w:rPr>
          <w:rFonts w:hint="eastAsia" w:ascii="宋体" w:hAnsi="宋体" w:cs="宋体"/>
        </w:rPr>
        <w:t>健康保障委托管理费费率：</w:t>
      </w:r>
      <w:r>
        <w:rPr>
          <w:rFonts w:hint="eastAsia" w:ascii="宋体" w:hAnsi="宋体" w:cs="宋体"/>
          <w:u w:val="single"/>
        </w:rPr>
        <w:t xml:space="preserve">       </w:t>
      </w:r>
      <w:r>
        <w:rPr>
          <w:rFonts w:hint="eastAsia" w:ascii="宋体" w:hAnsi="宋体" w:cs="宋体"/>
        </w:rPr>
        <w:t>%，</w:t>
      </w:r>
      <w:r>
        <w:rPr>
          <w:rFonts w:hint="eastAsia" w:ascii="宋体" w:hAnsi="宋体"/>
        </w:rPr>
        <w:t>服务期：</w:t>
      </w:r>
      <w:r>
        <w:rPr>
          <w:rFonts w:hint="eastAsia" w:ascii="宋体" w:hAnsi="宋体"/>
          <w:u w:val="single"/>
        </w:rPr>
        <w:t>满足比选文件要求</w:t>
      </w:r>
      <w:r>
        <w:rPr>
          <w:rFonts w:hint="eastAsia" w:ascii="宋体" w:hAnsi="宋体"/>
        </w:rPr>
        <w:t>。（报价保留小数点后两位，</w:t>
      </w:r>
      <w:r>
        <w:rPr>
          <w:rFonts w:hint="eastAsia" w:asciiTheme="minorEastAsia" w:hAnsiTheme="minorEastAsia" w:eastAsiaTheme="minorEastAsia"/>
        </w:rPr>
        <w:t>以上</w:t>
      </w:r>
      <w:r>
        <w:rPr>
          <w:rFonts w:hint="eastAsia" w:asciiTheme="minorEastAsia" w:hAnsiTheme="minorEastAsia" w:eastAsiaTheme="minorEastAsia"/>
          <w:lang w:val="en-US" w:eastAsia="zh-CN"/>
        </w:rPr>
        <w:t>比选申请</w:t>
      </w:r>
      <w:r>
        <w:rPr>
          <w:rFonts w:hint="eastAsia" w:asciiTheme="minorEastAsia" w:hAnsiTheme="minorEastAsia" w:eastAsiaTheme="minorEastAsia"/>
        </w:rPr>
        <w:t>报价均为含税价</w:t>
      </w:r>
      <w:r>
        <w:rPr>
          <w:rFonts w:hint="eastAsia" w:ascii="宋体" w:hAnsi="宋体"/>
        </w:rPr>
        <w:t>）。</w:t>
      </w:r>
    </w:p>
    <w:p>
      <w:pPr>
        <w:snapToGrid w:val="0"/>
        <w:spacing w:line="520" w:lineRule="exact"/>
        <w:ind w:firstLine="420" w:firstLineChars="200"/>
        <w:rPr>
          <w:rFonts w:ascii="宋体" w:hAnsi="宋体"/>
        </w:rPr>
      </w:pPr>
      <w:r>
        <w:rPr>
          <w:rFonts w:hint="eastAsia" w:ascii="宋体" w:hAnsi="宋体"/>
        </w:rPr>
        <w:t>3.我们同意在从规定的递交比选申请文件截止之日起到比选有效期满前遵守本比选申请文件。且本比选申请文件一直对我们具有约束力，并可随时被接受中选。</w:t>
      </w:r>
    </w:p>
    <w:p>
      <w:pPr>
        <w:snapToGrid w:val="0"/>
        <w:spacing w:line="520" w:lineRule="exact"/>
        <w:ind w:firstLine="420" w:firstLineChars="200"/>
        <w:rPr>
          <w:rFonts w:ascii="宋体" w:hAnsi="宋体"/>
        </w:rPr>
      </w:pPr>
      <w:r>
        <w:rPr>
          <w:rFonts w:hint="eastAsia" w:ascii="宋体" w:hAnsi="宋体"/>
        </w:rPr>
        <w:t>4.如果我们中选，我方承诺：</w:t>
      </w:r>
    </w:p>
    <w:p>
      <w:pPr>
        <w:snapToGrid w:val="0"/>
        <w:spacing w:line="520" w:lineRule="exact"/>
        <w:ind w:firstLine="420" w:firstLineChars="200"/>
        <w:rPr>
          <w:rFonts w:ascii="宋体" w:hAnsi="宋体"/>
        </w:rPr>
      </w:pPr>
      <w:r>
        <w:rPr>
          <w:rFonts w:hint="eastAsia" w:ascii="宋体" w:hAnsi="宋体"/>
        </w:rPr>
        <w:t>（1）在收到成交通知书后，在成交通知书规定的期限内与你方签订合同；</w:t>
      </w:r>
    </w:p>
    <w:p>
      <w:pPr>
        <w:snapToGrid w:val="0"/>
        <w:spacing w:line="520" w:lineRule="exact"/>
        <w:ind w:firstLine="420" w:firstLineChars="200"/>
        <w:rPr>
          <w:rFonts w:ascii="宋体" w:hAnsi="宋体"/>
        </w:rPr>
      </w:pPr>
      <w:r>
        <w:rPr>
          <w:rFonts w:hint="eastAsia" w:ascii="宋体" w:hAnsi="宋体"/>
        </w:rPr>
        <w:t>（2）在签订合同时不向你方提出附加条件及贵单位不能接受的条件；</w:t>
      </w:r>
    </w:p>
    <w:p>
      <w:pPr>
        <w:snapToGrid w:val="0"/>
        <w:spacing w:line="520" w:lineRule="exact"/>
        <w:ind w:firstLine="420" w:firstLineChars="200"/>
        <w:rPr>
          <w:rFonts w:ascii="宋体" w:hAnsi="宋体"/>
        </w:rPr>
      </w:pPr>
      <w:r>
        <w:rPr>
          <w:rFonts w:hint="eastAsia" w:ascii="宋体" w:hAnsi="宋体"/>
        </w:rPr>
        <w:t>（3）按照比选文件要求提交履约保证金；</w:t>
      </w:r>
    </w:p>
    <w:p>
      <w:pPr>
        <w:snapToGrid w:val="0"/>
        <w:spacing w:line="520" w:lineRule="exact"/>
        <w:ind w:firstLine="420" w:firstLineChars="200"/>
        <w:rPr>
          <w:rFonts w:ascii="宋体" w:hAnsi="宋体"/>
        </w:rPr>
      </w:pPr>
      <w:r>
        <w:rPr>
          <w:rFonts w:hint="eastAsia" w:ascii="宋体" w:hAnsi="宋体"/>
        </w:rPr>
        <w:t>（4）在合同约定的期限内完成合同规定的全部义务。</w:t>
      </w:r>
    </w:p>
    <w:p>
      <w:pPr>
        <w:snapToGrid w:val="0"/>
        <w:spacing w:line="520" w:lineRule="exact"/>
        <w:ind w:firstLine="420" w:firstLineChars="200"/>
        <w:rPr>
          <w:rFonts w:ascii="宋体" w:hAnsi="宋体" w:cs="MingLiU"/>
          <w:snapToGrid w:val="0"/>
        </w:rPr>
      </w:pPr>
      <w:r>
        <w:rPr>
          <w:rFonts w:hint="eastAsia" w:ascii="宋体" w:hAnsi="宋体"/>
        </w:rPr>
        <w:t>5.在制定和签署一份正式协议书之前，本比选申请文件连同你方的书面中选通知，构成在我们双方之间有约束力的合同。</w:t>
      </w:r>
    </w:p>
    <w:p>
      <w:pPr>
        <w:tabs>
          <w:tab w:val="left" w:pos="1800"/>
        </w:tabs>
        <w:spacing w:line="360" w:lineRule="auto"/>
        <w:ind w:right="-874" w:rightChars="-416" w:firstLine="420" w:firstLineChars="200"/>
        <w:outlineLvl w:val="1"/>
        <w:rPr>
          <w:rFonts w:ascii="宋体" w:hAnsi="宋体" w:cs="宋体"/>
        </w:rPr>
      </w:pPr>
      <w:r>
        <w:rPr>
          <w:rFonts w:hint="eastAsia" w:ascii="宋体" w:hAnsi="宋体" w:cs="MingLiU"/>
          <w:snapToGrid w:val="0"/>
        </w:rPr>
        <w:t>注:</w:t>
      </w:r>
      <w:r>
        <w:rPr>
          <w:rFonts w:hint="eastAsia" w:ascii="宋体" w:hAnsi="宋体" w:cs="宋体"/>
        </w:rPr>
        <w:t>该比选申请报价包括但不限于完成本项目的人工费、车旅费等一切费用。</w:t>
      </w:r>
    </w:p>
    <w:p>
      <w:pPr>
        <w:snapToGrid w:val="0"/>
        <w:spacing w:line="520" w:lineRule="exact"/>
        <w:ind w:firstLine="420" w:firstLineChars="200"/>
        <w:rPr>
          <w:rFonts w:ascii="宋体" w:hAnsi="宋体" w:cs="MingLiU"/>
          <w:snapToGrid w:val="0"/>
        </w:rPr>
      </w:pPr>
    </w:p>
    <w:p>
      <w:pPr>
        <w:tabs>
          <w:tab w:val="left" w:pos="8300"/>
        </w:tabs>
        <w:autoSpaceDE w:val="0"/>
        <w:autoSpaceDN w:val="0"/>
        <w:adjustRightInd w:val="0"/>
        <w:snapToGrid w:val="0"/>
        <w:spacing w:line="520" w:lineRule="exact"/>
        <w:ind w:right="-20" w:firstLine="3570" w:firstLineChars="1700"/>
        <w:rPr>
          <w:rFonts w:ascii="宋体" w:hAnsi="宋体" w:cs="MingLiU"/>
          <w:snapToGrid w:val="0"/>
        </w:rPr>
      </w:pPr>
    </w:p>
    <w:p>
      <w:pPr>
        <w:pStyle w:val="5"/>
        <w:rPr>
          <w:rFonts w:ascii="宋体" w:hAnsi="宋体" w:cs="MingLiU"/>
          <w:snapToGrid w:val="0"/>
        </w:rPr>
      </w:pPr>
    </w:p>
    <w:p/>
    <w:p>
      <w:pPr>
        <w:tabs>
          <w:tab w:val="left" w:pos="8300"/>
        </w:tabs>
        <w:autoSpaceDE w:val="0"/>
        <w:autoSpaceDN w:val="0"/>
        <w:adjustRightInd w:val="0"/>
        <w:snapToGrid w:val="0"/>
        <w:spacing w:line="520" w:lineRule="exact"/>
        <w:ind w:right="-20" w:firstLine="3570" w:firstLineChars="1700"/>
        <w:rPr>
          <w:rFonts w:ascii="宋体" w:hAnsi="宋体" w:cs="MingLiU"/>
          <w:snapToGrid w:val="0"/>
        </w:rPr>
      </w:pPr>
    </w:p>
    <w:p>
      <w:pPr>
        <w:tabs>
          <w:tab w:val="left" w:pos="8300"/>
        </w:tabs>
        <w:autoSpaceDE w:val="0"/>
        <w:autoSpaceDN w:val="0"/>
        <w:adjustRightInd w:val="0"/>
        <w:snapToGrid w:val="0"/>
        <w:spacing w:line="520" w:lineRule="exact"/>
        <w:ind w:right="-20" w:firstLine="3570" w:firstLineChars="1700"/>
        <w:rPr>
          <w:rFonts w:ascii="宋体" w:hAnsi="宋体" w:cs="MingLiU"/>
          <w:snapToGrid w:val="0"/>
          <w:u w:val="single"/>
        </w:rPr>
      </w:pPr>
      <w:r>
        <w:rPr>
          <w:rFonts w:hint="eastAsia" w:ascii="宋体" w:hAnsi="宋体" w:cs="MingLiU"/>
          <w:snapToGrid w:val="0"/>
          <w:u w:val="single"/>
        </w:rPr>
        <w:t xml:space="preserve">比选申请人：（盖章）         </w:t>
      </w:r>
    </w:p>
    <w:p>
      <w:pPr>
        <w:tabs>
          <w:tab w:val="left" w:pos="8300"/>
        </w:tabs>
        <w:autoSpaceDE w:val="0"/>
        <w:autoSpaceDN w:val="0"/>
        <w:adjustRightInd w:val="0"/>
        <w:snapToGrid w:val="0"/>
        <w:spacing w:line="520" w:lineRule="exact"/>
        <w:ind w:right="-20" w:firstLine="3150" w:firstLineChars="1500"/>
        <w:rPr>
          <w:rFonts w:ascii="宋体" w:hAnsi="宋体" w:cs="MingLiU"/>
          <w:snapToGrid w:val="0"/>
          <w:u w:val="single"/>
        </w:rPr>
      </w:pPr>
      <w:r>
        <w:rPr>
          <w:rFonts w:hint="eastAsia" w:ascii="宋体" w:hAnsi="宋体" w:cs="MingLiU"/>
          <w:snapToGrid w:val="0"/>
          <w:u w:val="single"/>
        </w:rPr>
        <w:t xml:space="preserve">法定代表人或授权代表签字：（签名或盖章）  </w:t>
      </w:r>
    </w:p>
    <w:p>
      <w:pPr>
        <w:spacing w:line="520" w:lineRule="exact"/>
        <w:ind w:firstLine="5670" w:firstLineChars="2700"/>
        <w:rPr>
          <w:rFonts w:ascii="宋体" w:hAnsi="宋体" w:cs="MingLiU"/>
          <w:snapToGrid w:val="0"/>
          <w:u w:val="single"/>
        </w:rPr>
        <w:sectPr>
          <w:footerReference r:id="rId6" w:type="first"/>
          <w:footerReference r:id="rId5" w:type="default"/>
          <w:pgSz w:w="11906" w:h="16838"/>
          <w:pgMar w:top="1276" w:right="1162" w:bottom="1135" w:left="1134" w:header="851" w:footer="992" w:gutter="0"/>
          <w:pgNumType w:fmt="decimal" w:start="1"/>
          <w:cols w:space="720" w:num="1"/>
          <w:titlePg/>
          <w:docGrid w:type="lines" w:linePitch="312" w:charSpace="0"/>
        </w:sectPr>
      </w:pPr>
      <w:r>
        <w:rPr>
          <w:rFonts w:hint="eastAsia" w:ascii="宋体" w:hAnsi="宋体" w:cs="MingLiU"/>
          <w:snapToGrid w:val="0"/>
          <w:u w:val="single"/>
        </w:rPr>
        <w:t xml:space="preserve">     年   月   日</w:t>
      </w:r>
    </w:p>
    <w:p>
      <w:pPr>
        <w:pStyle w:val="5"/>
        <w:spacing w:line="240" w:lineRule="auto"/>
        <w:jc w:val="center"/>
        <w:rPr>
          <w:rFonts w:ascii="宋体" w:hAnsi="宋体"/>
          <w:snapToGrid w:val="0"/>
          <w:kern w:val="0"/>
          <w:szCs w:val="21"/>
        </w:rPr>
      </w:pPr>
      <w:r>
        <w:rPr>
          <w:rFonts w:hint="eastAsia" w:ascii="宋体" w:hAnsi="宋体"/>
          <w:b w:val="0"/>
          <w:bCs w:val="0"/>
        </w:rPr>
        <w:t>比选申请函</w:t>
      </w:r>
      <w:r>
        <w:rPr>
          <w:rFonts w:ascii="宋体" w:hAnsi="宋体"/>
          <w:b w:val="0"/>
          <w:bCs w:val="0"/>
        </w:rPr>
        <w:t>附录</w:t>
      </w:r>
    </w:p>
    <w:tbl>
      <w:tblPr>
        <w:tblStyle w:val="9"/>
        <w:tblW w:w="8643"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3829"/>
        <w:gridCol w:w="15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rPr>
            </w:pPr>
            <w:r>
              <w:rPr>
                <w:rFonts w:ascii="宋体" w:hAnsi="宋体"/>
                <w:snapToGrid w:val="0"/>
                <w:kern w:val="0"/>
              </w:rPr>
              <w:t>序号</w:t>
            </w:r>
          </w:p>
        </w:tc>
        <w:tc>
          <w:tcPr>
            <w:tcW w:w="2582" w:type="dxa"/>
            <w:vAlign w:val="center"/>
          </w:tcPr>
          <w:p>
            <w:pPr>
              <w:autoSpaceDE w:val="0"/>
              <w:autoSpaceDN w:val="0"/>
              <w:adjustRightInd w:val="0"/>
              <w:jc w:val="center"/>
              <w:rPr>
                <w:rFonts w:ascii="宋体" w:hAnsi="宋体"/>
                <w:snapToGrid w:val="0"/>
                <w:kern w:val="0"/>
              </w:rPr>
            </w:pPr>
            <w:r>
              <w:rPr>
                <w:rFonts w:hint="eastAsia" w:ascii="宋体" w:hAnsi="宋体"/>
                <w:snapToGrid w:val="0"/>
                <w:kern w:val="0"/>
              </w:rPr>
              <w:t>报价类别</w:t>
            </w:r>
          </w:p>
        </w:tc>
        <w:tc>
          <w:tcPr>
            <w:tcW w:w="3829" w:type="dxa"/>
            <w:vAlign w:val="center"/>
          </w:tcPr>
          <w:p>
            <w:pPr>
              <w:autoSpaceDE w:val="0"/>
              <w:autoSpaceDN w:val="0"/>
              <w:adjustRightInd w:val="0"/>
              <w:jc w:val="center"/>
              <w:rPr>
                <w:rFonts w:ascii="宋体" w:hAnsi="宋体"/>
                <w:snapToGrid w:val="0"/>
                <w:kern w:val="0"/>
              </w:rPr>
            </w:pPr>
            <w:r>
              <w:rPr>
                <w:rFonts w:hint="eastAsia" w:ascii="宋体" w:hAnsi="宋体" w:cs="宋体"/>
              </w:rPr>
              <w:t>比选申请人</w:t>
            </w:r>
            <w:r>
              <w:rPr>
                <w:rFonts w:hint="eastAsia" w:ascii="宋体" w:hAnsi="宋体"/>
                <w:snapToGrid w:val="0"/>
                <w:kern w:val="0"/>
              </w:rPr>
              <w:t>单价（费率）</w:t>
            </w:r>
          </w:p>
        </w:tc>
        <w:tc>
          <w:tcPr>
            <w:tcW w:w="1512" w:type="dxa"/>
            <w:vAlign w:val="center"/>
          </w:tcPr>
          <w:p>
            <w:pPr>
              <w:autoSpaceDE w:val="0"/>
              <w:autoSpaceDN w:val="0"/>
              <w:adjustRightInd w:val="0"/>
              <w:jc w:val="center"/>
              <w:rPr>
                <w:rFonts w:ascii="宋体" w:hAnsi="宋体"/>
                <w:snapToGrid w:val="0"/>
                <w:kern w:val="0"/>
              </w:rPr>
            </w:pPr>
            <w:r>
              <w:rPr>
                <w:rFonts w:ascii="宋体" w:hAnsi="宋体"/>
                <w:snapToGrid w:val="0"/>
                <w:kern w:val="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37" w:hRule="exact"/>
        </w:trPr>
        <w:tc>
          <w:tcPr>
            <w:tcW w:w="720" w:type="dxa"/>
            <w:vAlign w:val="center"/>
          </w:tcPr>
          <w:p>
            <w:pPr>
              <w:autoSpaceDE w:val="0"/>
              <w:autoSpaceDN w:val="0"/>
              <w:adjustRightInd w:val="0"/>
              <w:jc w:val="center"/>
              <w:rPr>
                <w:rFonts w:ascii="宋体" w:hAnsi="宋体"/>
                <w:snapToGrid w:val="0"/>
                <w:kern w:val="0"/>
              </w:rPr>
            </w:pPr>
            <w:r>
              <w:rPr>
                <w:rFonts w:hint="eastAsia" w:ascii="宋体" w:hAnsi="宋体"/>
                <w:snapToGrid w:val="0"/>
                <w:kern w:val="0"/>
              </w:rPr>
              <w:t>1</w:t>
            </w:r>
          </w:p>
        </w:tc>
        <w:tc>
          <w:tcPr>
            <w:tcW w:w="2582" w:type="dxa"/>
            <w:vAlign w:val="center"/>
          </w:tcPr>
          <w:p>
            <w:pPr>
              <w:autoSpaceDE w:val="0"/>
              <w:autoSpaceDN w:val="0"/>
              <w:adjustRightInd w:val="0"/>
              <w:jc w:val="center"/>
              <w:rPr>
                <w:rFonts w:ascii="宋体" w:hAnsi="宋体"/>
                <w:snapToGrid w:val="0"/>
                <w:kern w:val="0"/>
              </w:rPr>
            </w:pPr>
            <w:r>
              <w:rPr>
                <w:rFonts w:hint="eastAsia"/>
              </w:rPr>
              <w:t>商业团体补充医疗保险保费报价</w:t>
            </w:r>
          </w:p>
        </w:tc>
        <w:tc>
          <w:tcPr>
            <w:tcW w:w="3829" w:type="dxa"/>
            <w:vAlign w:val="center"/>
          </w:tcPr>
          <w:p>
            <w:pPr>
              <w:spacing w:line="500" w:lineRule="exact"/>
              <w:rPr>
                <w:rFonts w:ascii="宋体" w:hAnsi="宋体" w:cs="宋体"/>
                <w:szCs w:val="28"/>
              </w:rPr>
            </w:pPr>
            <w:r>
              <w:rPr>
                <w:rFonts w:hint="eastAsia" w:ascii="宋体" w:hAnsi="宋体" w:cs="宋体"/>
                <w:szCs w:val="28"/>
                <w:u w:val="single"/>
              </w:rPr>
              <w:t>在职人员：人民币       元</w:t>
            </w:r>
            <w:r>
              <w:rPr>
                <w:rFonts w:hint="eastAsia" w:ascii="宋体" w:hAnsi="宋体" w:cs="宋体"/>
                <w:szCs w:val="28"/>
              </w:rPr>
              <w:t>/</w:t>
            </w:r>
            <w:r>
              <w:rPr>
                <w:rFonts w:hint="eastAsia"/>
              </w:rPr>
              <w:t>人每年</w:t>
            </w:r>
          </w:p>
          <w:p>
            <w:pPr>
              <w:spacing w:line="500" w:lineRule="exact"/>
              <w:rPr>
                <w:rFonts w:ascii="宋体" w:hAnsi="宋体" w:cs="宋体"/>
                <w:szCs w:val="28"/>
                <w:u w:val="single"/>
              </w:rPr>
            </w:pPr>
            <w:r>
              <w:rPr>
                <w:rFonts w:hint="eastAsia" w:ascii="宋体" w:hAnsi="宋体" w:cs="宋体"/>
                <w:szCs w:val="28"/>
                <w:u w:val="single"/>
              </w:rPr>
              <w:t>（大写：  元</w:t>
            </w:r>
            <w:r>
              <w:rPr>
                <w:rFonts w:hint="eastAsia" w:ascii="宋体" w:hAnsi="宋体" w:cs="宋体"/>
                <w:szCs w:val="28"/>
              </w:rPr>
              <w:t>/</w:t>
            </w:r>
            <w:r>
              <w:rPr>
                <w:rFonts w:hint="eastAsia"/>
              </w:rPr>
              <w:t>人每年</w:t>
            </w:r>
            <w:r>
              <w:rPr>
                <w:rFonts w:hint="eastAsia" w:ascii="宋体" w:hAnsi="宋体" w:cs="宋体"/>
                <w:szCs w:val="28"/>
                <w:u w:val="single"/>
              </w:rPr>
              <w:t>）</w:t>
            </w:r>
          </w:p>
          <w:p>
            <w:pPr>
              <w:tabs>
                <w:tab w:val="left" w:pos="2051"/>
              </w:tabs>
              <w:autoSpaceDE w:val="0"/>
              <w:autoSpaceDN w:val="0"/>
              <w:adjustRightInd w:val="0"/>
              <w:jc w:val="center"/>
              <w:rPr>
                <w:rFonts w:ascii="宋体" w:hAnsi="宋体" w:cs="宋体"/>
                <w:szCs w:val="28"/>
              </w:rPr>
            </w:pPr>
            <w:r>
              <w:rPr>
                <w:rFonts w:hint="eastAsia" w:ascii="宋体" w:hAnsi="宋体" w:cs="宋体"/>
                <w:szCs w:val="28"/>
                <w:u w:val="single"/>
              </w:rPr>
              <w:t>退休人员：人民币       元</w:t>
            </w:r>
            <w:r>
              <w:rPr>
                <w:rFonts w:hint="eastAsia" w:ascii="宋体" w:hAnsi="宋体" w:cs="宋体"/>
                <w:szCs w:val="28"/>
              </w:rPr>
              <w:t>/</w:t>
            </w:r>
            <w:r>
              <w:rPr>
                <w:rFonts w:hint="eastAsia"/>
              </w:rPr>
              <w:t>人每年</w:t>
            </w:r>
          </w:p>
          <w:p>
            <w:pPr>
              <w:tabs>
                <w:tab w:val="left" w:pos="2051"/>
              </w:tabs>
              <w:autoSpaceDE w:val="0"/>
              <w:autoSpaceDN w:val="0"/>
              <w:adjustRightInd w:val="0"/>
              <w:rPr>
                <w:rFonts w:ascii="宋体" w:hAnsi="宋体"/>
                <w:snapToGrid w:val="0"/>
                <w:kern w:val="0"/>
              </w:rPr>
            </w:pPr>
            <w:r>
              <w:rPr>
                <w:rFonts w:hint="eastAsia" w:ascii="宋体" w:hAnsi="宋体" w:cs="宋体"/>
                <w:szCs w:val="28"/>
                <w:u w:val="single"/>
              </w:rPr>
              <w:t>（大写：  元</w:t>
            </w:r>
            <w:r>
              <w:rPr>
                <w:rFonts w:hint="eastAsia" w:ascii="宋体" w:hAnsi="宋体" w:cs="宋体"/>
                <w:szCs w:val="28"/>
              </w:rPr>
              <w:t>/</w:t>
            </w:r>
            <w:r>
              <w:rPr>
                <w:rFonts w:hint="eastAsia"/>
              </w:rPr>
              <w:t>人每年</w:t>
            </w:r>
            <w:r>
              <w:rPr>
                <w:rFonts w:hint="eastAsia" w:ascii="宋体" w:hAnsi="宋体" w:cs="宋体"/>
                <w:szCs w:val="28"/>
                <w:u w:val="single"/>
              </w:rPr>
              <w:t>）</w:t>
            </w:r>
          </w:p>
        </w:tc>
        <w:tc>
          <w:tcPr>
            <w:tcW w:w="1512" w:type="dxa"/>
            <w:vAlign w:val="center"/>
          </w:tcPr>
          <w:p>
            <w:pPr>
              <w:autoSpaceDE w:val="0"/>
              <w:autoSpaceDN w:val="0"/>
              <w:adjustRightInd w:val="0"/>
              <w:jc w:val="center"/>
              <w:rPr>
                <w:rFonts w:ascii="宋体" w:hAnsi="宋体"/>
                <w:snapToGrid w:val="0"/>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62" w:hRule="exact"/>
        </w:trPr>
        <w:tc>
          <w:tcPr>
            <w:tcW w:w="720" w:type="dxa"/>
            <w:vAlign w:val="center"/>
          </w:tcPr>
          <w:p>
            <w:pPr>
              <w:autoSpaceDE w:val="0"/>
              <w:autoSpaceDN w:val="0"/>
              <w:adjustRightInd w:val="0"/>
              <w:jc w:val="center"/>
              <w:rPr>
                <w:rFonts w:ascii="宋体" w:hAnsi="宋体"/>
                <w:snapToGrid w:val="0"/>
                <w:kern w:val="0"/>
              </w:rPr>
            </w:pPr>
            <w:r>
              <w:rPr>
                <w:rFonts w:hint="eastAsia" w:ascii="宋体" w:hAnsi="宋体"/>
                <w:snapToGrid w:val="0"/>
                <w:kern w:val="0"/>
              </w:rPr>
              <w:t>2</w:t>
            </w:r>
          </w:p>
        </w:tc>
        <w:tc>
          <w:tcPr>
            <w:tcW w:w="2582" w:type="dxa"/>
            <w:vAlign w:val="center"/>
          </w:tcPr>
          <w:p>
            <w:pPr>
              <w:autoSpaceDE w:val="0"/>
              <w:autoSpaceDN w:val="0"/>
              <w:adjustRightInd w:val="0"/>
              <w:jc w:val="center"/>
              <w:rPr>
                <w:rFonts w:ascii="宋体" w:hAnsi="宋体"/>
                <w:snapToGrid w:val="0"/>
                <w:kern w:val="0"/>
              </w:rPr>
            </w:pPr>
            <w:r>
              <w:rPr>
                <w:rFonts w:hint="eastAsia"/>
              </w:rPr>
              <w:t>健康保障委托管理费费率</w:t>
            </w:r>
          </w:p>
        </w:tc>
        <w:tc>
          <w:tcPr>
            <w:tcW w:w="3829" w:type="dxa"/>
            <w:vAlign w:val="center"/>
          </w:tcPr>
          <w:p>
            <w:pPr>
              <w:tabs>
                <w:tab w:val="left" w:pos="2051"/>
              </w:tabs>
              <w:autoSpaceDE w:val="0"/>
              <w:autoSpaceDN w:val="0"/>
              <w:adjustRightInd w:val="0"/>
              <w:jc w:val="center"/>
              <w:rPr>
                <w:rFonts w:ascii="宋体" w:hAnsi="宋体"/>
                <w:snapToGrid w:val="0"/>
                <w:kern w:val="0"/>
              </w:rPr>
            </w:pPr>
            <w:r>
              <w:rPr>
                <w:rFonts w:hint="eastAsia" w:ascii="宋体" w:hAnsi="宋体"/>
                <w:snapToGrid w:val="0"/>
                <w:kern w:val="0"/>
                <w:u w:val="single"/>
              </w:rPr>
              <w:t xml:space="preserve">  </w:t>
            </w:r>
            <w:r>
              <w:rPr>
                <w:rFonts w:hint="eastAsia" w:ascii="宋体" w:hAnsi="宋体"/>
                <w:snapToGrid w:val="0"/>
                <w:kern w:val="0"/>
              </w:rPr>
              <w:t>%</w:t>
            </w:r>
          </w:p>
        </w:tc>
        <w:tc>
          <w:tcPr>
            <w:tcW w:w="1512" w:type="dxa"/>
            <w:vAlign w:val="center"/>
          </w:tcPr>
          <w:p>
            <w:pPr>
              <w:autoSpaceDE w:val="0"/>
              <w:autoSpaceDN w:val="0"/>
              <w:adjustRightInd w:val="0"/>
              <w:jc w:val="center"/>
              <w:rPr>
                <w:rFonts w:ascii="宋体" w:hAnsi="宋体"/>
                <w:snapToGrid w:val="0"/>
                <w:kern w:val="0"/>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rPr>
      </w:pPr>
      <w:r>
        <w:rPr>
          <w:rFonts w:hint="eastAsia" w:ascii="宋体" w:hAnsi="宋体" w:cs="MingLiU"/>
          <w:snapToGrid w:val="0"/>
          <w:u w:val="single"/>
        </w:rPr>
        <w:t>比选申请人</w:t>
      </w:r>
      <w:r>
        <w:rPr>
          <w:rFonts w:ascii="宋体" w:hAnsi="宋体"/>
          <w:snapToGrid w:val="0"/>
          <w:kern w:val="0"/>
        </w:rPr>
        <w:t>：</w:t>
      </w:r>
      <w:r>
        <w:rPr>
          <w:rFonts w:ascii="宋体" w:hAnsi="宋体"/>
          <w:snapToGrid w:val="0"/>
          <w:kern w:val="0"/>
          <w:u w:val="single"/>
        </w:rPr>
        <w:t xml:space="preserve">           </w:t>
      </w:r>
      <w:r>
        <w:rPr>
          <w:rFonts w:hint="eastAsia" w:ascii="宋体" w:hAnsi="宋体"/>
          <w:snapToGrid w:val="0"/>
          <w:kern w:val="0"/>
          <w:u w:val="single"/>
        </w:rPr>
        <w:t xml:space="preserve">      </w:t>
      </w:r>
      <w:r>
        <w:rPr>
          <w:rFonts w:ascii="宋体" w:hAnsi="宋体"/>
          <w:snapToGrid w:val="0"/>
          <w:kern w:val="0"/>
          <w:u w:val="single"/>
        </w:rPr>
        <w:t xml:space="preserve">  </w:t>
      </w:r>
      <w:r>
        <w:rPr>
          <w:rFonts w:hint="eastAsia" w:ascii="宋体" w:hAnsi="宋体"/>
          <w:snapToGrid w:val="0"/>
          <w:kern w:val="0"/>
          <w:u w:val="single"/>
        </w:rPr>
        <w:t xml:space="preserve">       </w:t>
      </w:r>
      <w:r>
        <w:rPr>
          <w:rFonts w:ascii="宋体" w:hAnsi="宋体"/>
          <w:snapToGrid w:val="0"/>
          <w:kern w:val="0"/>
          <w:u w:val="single"/>
        </w:rPr>
        <w:t xml:space="preserve">  </w:t>
      </w:r>
      <w:r>
        <w:rPr>
          <w:rFonts w:ascii="宋体" w:hAnsi="宋体"/>
          <w:snapToGrid w:val="0"/>
          <w:kern w:val="0"/>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rPr>
      </w:pPr>
      <w:r>
        <w:rPr>
          <w:rFonts w:hint="eastAsia" w:ascii="宋体" w:hAnsi="宋体"/>
          <w:snapToGrid w:val="0"/>
          <w:kern w:val="0"/>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rPr>
      </w:pPr>
      <w:r>
        <w:rPr>
          <w:rFonts w:ascii="宋体" w:hAnsi="宋体"/>
          <w:snapToGrid w:val="0"/>
          <w:kern w:val="0"/>
        </w:rPr>
        <w:t>法定代表人或其委托代理人：</w:t>
      </w:r>
      <w:r>
        <w:rPr>
          <w:rFonts w:ascii="宋体" w:hAnsi="宋体"/>
          <w:snapToGrid w:val="0"/>
          <w:kern w:val="0"/>
          <w:u w:val="single"/>
        </w:rPr>
        <w:t xml:space="preserve">         </w:t>
      </w:r>
      <w:r>
        <w:rPr>
          <w:rFonts w:hint="eastAsia" w:ascii="宋体" w:hAnsi="宋体"/>
          <w:snapToGrid w:val="0"/>
          <w:kern w:val="0"/>
          <w:u w:val="single"/>
        </w:rPr>
        <w:t xml:space="preserve">      </w:t>
      </w:r>
      <w:r>
        <w:rPr>
          <w:rFonts w:ascii="宋体" w:hAnsi="宋体"/>
          <w:snapToGrid w:val="0"/>
          <w:kern w:val="0"/>
        </w:rPr>
        <w:t>（</w:t>
      </w:r>
      <w:r>
        <w:rPr>
          <w:rFonts w:hint="eastAsia" w:ascii="宋体" w:hAnsi="宋体"/>
          <w:snapToGrid w:val="0"/>
          <w:kern w:val="0"/>
        </w:rPr>
        <w:t>签名</w:t>
      </w:r>
      <w:r>
        <w:rPr>
          <w:rFonts w:ascii="宋体" w:hAnsi="宋体"/>
          <w:snapToGrid w:val="0"/>
          <w:kern w:val="0"/>
        </w:rPr>
        <w:t xml:space="preserve">或盖章） </w:t>
      </w:r>
    </w:p>
    <w:p>
      <w:pPr>
        <w:pStyle w:val="2"/>
        <w:sectPr>
          <w:pgSz w:w="11906" w:h="16838"/>
          <w:pgMar w:top="1276" w:right="1162" w:bottom="1135" w:left="1134" w:header="851" w:footer="992" w:gutter="0"/>
          <w:pgNumType w:fmt="decimal"/>
          <w:cols w:space="720" w:num="1"/>
          <w:titlePg/>
          <w:docGrid w:type="lines" w:linePitch="312" w:charSpace="0"/>
        </w:sectPr>
      </w:pPr>
    </w:p>
    <w:p/>
    <w:bookmarkEnd w:id="49"/>
    <w:bookmarkEnd w:id="50"/>
    <w:bookmarkEnd w:id="51"/>
    <w:p>
      <w:pPr>
        <w:pStyle w:val="11"/>
        <w:ind w:firstLine="0"/>
      </w:pPr>
    </w:p>
    <w:p>
      <w:pPr>
        <w:spacing w:line="360" w:lineRule="auto"/>
        <w:ind w:firstLine="472" w:firstLineChars="224"/>
        <w:jc w:val="center"/>
        <w:outlineLvl w:val="1"/>
        <w:rPr>
          <w:rFonts w:hint="eastAsia" w:ascii="宋体" w:eastAsia="宋体"/>
          <w:b/>
          <w:bCs/>
          <w:lang w:eastAsia="zh-CN"/>
        </w:rPr>
      </w:pPr>
      <w:bookmarkStart w:id="53" w:name="_Toc13388"/>
      <w:bookmarkStart w:id="54" w:name="_Toc120633487"/>
      <w:bookmarkStart w:id="55" w:name="_Toc14571"/>
      <w:r>
        <w:rPr>
          <w:rFonts w:hint="eastAsia" w:ascii="宋体" w:hAnsi="宋体" w:cs="宋体"/>
          <w:b/>
          <w:bCs/>
        </w:rPr>
        <w:t>法定代表人授权委托书</w:t>
      </w:r>
      <w:bookmarkEnd w:id="52"/>
      <w:bookmarkEnd w:id="53"/>
      <w:bookmarkEnd w:id="54"/>
      <w:bookmarkEnd w:id="55"/>
      <w:r>
        <w:rPr>
          <w:rFonts w:hint="eastAsia" w:ascii="宋体" w:hAnsi="宋体" w:cs="宋体"/>
          <w:b/>
          <w:bCs/>
          <w:lang w:eastAsia="zh-CN"/>
        </w:rPr>
        <w:t>（</w:t>
      </w:r>
      <w:r>
        <w:rPr>
          <w:rFonts w:hint="eastAsia" w:ascii="宋体" w:hAnsi="宋体" w:cs="宋体"/>
          <w:b/>
          <w:bCs/>
          <w:lang w:val="en-US" w:eastAsia="zh-CN"/>
        </w:rPr>
        <w:t>分公司参与竞选的提供分公司负责人委托书</w:t>
      </w:r>
      <w:r>
        <w:rPr>
          <w:rFonts w:hint="eastAsia" w:ascii="宋体" w:hAnsi="宋体" w:cs="宋体"/>
          <w:b/>
          <w:bCs/>
          <w:lang w:eastAsia="zh-CN"/>
        </w:rPr>
        <w:t>）</w:t>
      </w:r>
    </w:p>
    <w:p>
      <w:pPr>
        <w:spacing w:line="360" w:lineRule="auto"/>
        <w:ind w:firstLine="470" w:firstLineChars="224"/>
        <w:rPr>
          <w:rFonts w:ascii="宋体"/>
        </w:rPr>
      </w:pPr>
    </w:p>
    <w:p>
      <w:pPr>
        <w:pStyle w:val="14"/>
        <w:spacing w:line="360" w:lineRule="auto"/>
        <w:ind w:left="0" w:leftChars="0" w:firstLine="470" w:firstLineChars="224"/>
        <w:rPr>
          <w:rFonts w:ascii="宋体"/>
        </w:rPr>
      </w:pPr>
      <w:r>
        <w:rPr>
          <w:rFonts w:hint="eastAsia" w:ascii="宋体" w:hAnsi="宋体" w:cs="宋体"/>
        </w:rPr>
        <w:t>本授权委托书声明：我（姓名）系（参选单位名称）的法定代表人</w:t>
      </w:r>
      <w:r>
        <w:rPr>
          <w:rFonts w:hint="eastAsia" w:ascii="宋体" w:hAnsi="宋体" w:cs="宋体"/>
          <w:lang w:eastAsia="zh-CN"/>
        </w:rPr>
        <w:t>（</w:t>
      </w:r>
      <w:r>
        <w:rPr>
          <w:rFonts w:hint="eastAsia" w:ascii="宋体" w:hAnsi="宋体" w:cs="宋体"/>
          <w:lang w:val="en-US" w:eastAsia="zh-CN"/>
        </w:rPr>
        <w:t>分公司负责人</w:t>
      </w:r>
      <w:r>
        <w:rPr>
          <w:rFonts w:hint="eastAsia" w:ascii="宋体" w:hAnsi="宋体" w:cs="宋体"/>
          <w:lang w:eastAsia="zh-CN"/>
        </w:rPr>
        <w:t>）</w:t>
      </w:r>
      <w:r>
        <w:rPr>
          <w:rFonts w:hint="eastAsia" w:ascii="宋体" w:hAnsi="宋体" w:cs="宋体"/>
        </w:rPr>
        <w:t>，现授权委托（单位名称）的（姓名）为我公司唯一代理人，以本公司的名义参加（比选人名称、项目名称）的比选活动。代理人在竞争性比选、合同签订过程中所签署的一切文件和处理与之有关的一切事务，我均予以承认。</w:t>
      </w:r>
    </w:p>
    <w:p>
      <w:pPr>
        <w:pStyle w:val="14"/>
        <w:spacing w:line="360" w:lineRule="auto"/>
        <w:ind w:left="0" w:leftChars="0" w:firstLine="470" w:firstLineChars="224"/>
        <w:rPr>
          <w:rFonts w:ascii="宋体"/>
        </w:rPr>
      </w:pPr>
      <w:r>
        <w:rPr>
          <w:rFonts w:hint="eastAsia" w:ascii="宋体" w:hAnsi="宋体" w:cs="宋体"/>
        </w:rPr>
        <w:t>代理人无转委权。特此委托。</w:t>
      </w:r>
    </w:p>
    <w:p>
      <w:pPr>
        <w:pStyle w:val="14"/>
        <w:spacing w:line="360" w:lineRule="auto"/>
        <w:ind w:left="0" w:leftChars="0" w:firstLine="470" w:firstLineChars="224"/>
        <w:rPr>
          <w:rFonts w:ascii="宋体"/>
        </w:rPr>
      </w:pPr>
      <w:r>
        <w:rPr>
          <w:rFonts w:hint="eastAsia" w:ascii="宋体" w:hAnsi="宋体" w:cs="宋体"/>
        </w:rPr>
        <w:t>（附法定代表人身份证明）</w:t>
      </w:r>
    </w:p>
    <w:p>
      <w:pPr>
        <w:pStyle w:val="2"/>
        <w:spacing w:line="360" w:lineRule="auto"/>
        <w:ind w:firstLine="470" w:firstLineChars="224"/>
        <w:rPr>
          <w:rFonts w:cs="Times New Roman"/>
          <w:sz w:val="21"/>
          <w:szCs w:val="21"/>
        </w:rPr>
      </w:pPr>
    </w:p>
    <w:p>
      <w:pPr>
        <w:pStyle w:val="2"/>
        <w:spacing w:line="360" w:lineRule="auto"/>
        <w:ind w:firstLine="470" w:firstLineChars="224"/>
        <w:rPr>
          <w:rFonts w:cs="Times New Roman"/>
          <w:sz w:val="21"/>
          <w:szCs w:val="21"/>
        </w:rPr>
      </w:pPr>
      <w:r>
        <w:rPr>
          <w:rFonts w:hint="eastAsia"/>
          <w:sz w:val="21"/>
          <w:szCs w:val="21"/>
        </w:rPr>
        <w:t>代理人：  性别：  年龄：</w:t>
      </w:r>
    </w:p>
    <w:p>
      <w:pPr>
        <w:pStyle w:val="2"/>
        <w:spacing w:line="360" w:lineRule="auto"/>
        <w:ind w:firstLine="470" w:firstLineChars="224"/>
        <w:rPr>
          <w:rFonts w:cs="Times New Roman"/>
          <w:sz w:val="21"/>
          <w:szCs w:val="21"/>
        </w:rPr>
      </w:pPr>
    </w:p>
    <w:p>
      <w:pPr>
        <w:pStyle w:val="2"/>
        <w:spacing w:line="360" w:lineRule="auto"/>
        <w:ind w:firstLine="470" w:firstLineChars="224"/>
        <w:rPr>
          <w:rFonts w:cs="Times New Roman"/>
          <w:sz w:val="21"/>
          <w:szCs w:val="21"/>
        </w:rPr>
      </w:pPr>
      <w:r>
        <w:rPr>
          <w:rFonts w:hint="eastAsia"/>
          <w:sz w:val="21"/>
          <w:szCs w:val="21"/>
        </w:rPr>
        <w:t>单位：    部门：   职务：</w:t>
      </w:r>
    </w:p>
    <w:p>
      <w:pPr>
        <w:pStyle w:val="2"/>
        <w:spacing w:line="360" w:lineRule="auto"/>
        <w:ind w:firstLine="470" w:firstLineChars="224"/>
        <w:rPr>
          <w:rFonts w:cs="Times New Roman"/>
          <w:sz w:val="21"/>
          <w:szCs w:val="21"/>
        </w:rPr>
      </w:pPr>
    </w:p>
    <w:p>
      <w:pPr>
        <w:pStyle w:val="2"/>
        <w:spacing w:line="360" w:lineRule="auto"/>
        <w:ind w:firstLine="470" w:firstLineChars="224"/>
        <w:rPr>
          <w:rFonts w:cs="Times New Roman"/>
          <w:sz w:val="21"/>
          <w:szCs w:val="21"/>
        </w:rPr>
      </w:pPr>
      <w:r>
        <w:rPr>
          <w:rFonts w:hint="eastAsia"/>
          <w:sz w:val="21"/>
          <w:szCs w:val="21"/>
        </w:rPr>
        <w:t>比选申请人：（盖章）</w:t>
      </w:r>
    </w:p>
    <w:p>
      <w:pPr>
        <w:pStyle w:val="2"/>
        <w:spacing w:line="360" w:lineRule="auto"/>
        <w:ind w:firstLine="470" w:firstLineChars="224"/>
        <w:rPr>
          <w:rFonts w:cs="Times New Roman"/>
          <w:sz w:val="21"/>
          <w:szCs w:val="21"/>
        </w:rPr>
      </w:pPr>
    </w:p>
    <w:p>
      <w:pPr>
        <w:pStyle w:val="2"/>
        <w:spacing w:line="360" w:lineRule="auto"/>
        <w:ind w:firstLine="470" w:firstLineChars="224"/>
        <w:rPr>
          <w:rFonts w:cs="Times New Roman"/>
          <w:sz w:val="21"/>
          <w:szCs w:val="21"/>
        </w:rPr>
      </w:pPr>
      <w:r>
        <w:rPr>
          <w:rFonts w:hint="eastAsia"/>
          <w:sz w:val="21"/>
          <w:szCs w:val="21"/>
        </w:rPr>
        <w:t>法定代表人</w:t>
      </w:r>
      <w:r>
        <w:rPr>
          <w:rFonts w:hint="eastAsia"/>
          <w:sz w:val="21"/>
          <w:szCs w:val="21"/>
          <w:lang w:eastAsia="zh-CN"/>
        </w:rPr>
        <w:t>（</w:t>
      </w:r>
      <w:r>
        <w:rPr>
          <w:rFonts w:hint="eastAsia"/>
          <w:sz w:val="21"/>
          <w:szCs w:val="21"/>
          <w:lang w:val="en-US" w:eastAsia="zh-CN"/>
        </w:rPr>
        <w:t>分公司负责人</w:t>
      </w:r>
      <w:r>
        <w:rPr>
          <w:rFonts w:hint="eastAsia"/>
          <w:sz w:val="21"/>
          <w:szCs w:val="21"/>
          <w:lang w:eastAsia="zh-CN"/>
        </w:rPr>
        <w:t>）</w:t>
      </w:r>
      <w:r>
        <w:rPr>
          <w:rFonts w:hint="eastAsia"/>
          <w:sz w:val="21"/>
          <w:szCs w:val="21"/>
        </w:rPr>
        <w:t>：（签名或盖章）</w:t>
      </w:r>
    </w:p>
    <w:p>
      <w:pPr>
        <w:pStyle w:val="50"/>
        <w:spacing w:beforeLines="0" w:afterLines="0" w:line="360" w:lineRule="auto"/>
        <w:ind w:firstLine="470" w:firstLineChars="224"/>
        <w:rPr>
          <w:rFonts w:ascii="宋体" w:hAnsi="宋体" w:eastAsia="宋体"/>
          <w:sz w:val="21"/>
          <w:szCs w:val="21"/>
        </w:rPr>
      </w:pPr>
    </w:p>
    <w:p>
      <w:pPr>
        <w:pStyle w:val="50"/>
        <w:spacing w:beforeLines="0" w:afterLines="0" w:line="360" w:lineRule="auto"/>
        <w:ind w:right="480" w:firstLine="470" w:firstLineChars="224"/>
        <w:jc w:val="right"/>
        <w:rPr>
          <w:rFonts w:ascii="宋体" w:hAnsi="宋体" w:eastAsia="宋体"/>
          <w:sz w:val="21"/>
          <w:szCs w:val="21"/>
        </w:rPr>
      </w:pP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spacing w:line="360" w:lineRule="auto"/>
        <w:rPr>
          <w:rFonts w:ascii="宋体"/>
        </w:rPr>
      </w:pPr>
    </w:p>
    <w:p>
      <w:pPr>
        <w:spacing w:line="360" w:lineRule="auto"/>
        <w:ind w:firstLine="470" w:firstLineChars="224"/>
        <w:rPr>
          <w:rFonts w:ascii="宋体"/>
        </w:rPr>
      </w:pPr>
      <w:r>
        <w:rPr>
          <w:rFonts w:hint="eastAsia" w:ascii="宋体" w:hAnsi="宋体" w:cs="宋体"/>
        </w:rPr>
        <w:t>（该处粘贴代理人身份证复印件）</w:t>
      </w:r>
    </w:p>
    <w:p>
      <w:pPr>
        <w:spacing w:line="360" w:lineRule="auto"/>
        <w:ind w:firstLine="472" w:firstLineChars="224"/>
        <w:jc w:val="center"/>
        <w:rPr>
          <w:rFonts w:ascii="宋体"/>
          <w:b/>
          <w:bCs/>
        </w:rPr>
      </w:pPr>
    </w:p>
    <w:p>
      <w:pPr>
        <w:spacing w:line="360" w:lineRule="auto"/>
        <w:jc w:val="center"/>
        <w:outlineLvl w:val="1"/>
        <w:rPr>
          <w:rFonts w:ascii="宋体"/>
          <w:b/>
          <w:bCs/>
        </w:rPr>
      </w:pPr>
      <w:r>
        <w:rPr>
          <w:rFonts w:ascii="宋体"/>
          <w:b/>
          <w:bCs/>
        </w:rPr>
        <w:br w:type="page"/>
      </w:r>
      <w:bookmarkStart w:id="56" w:name="_Toc120633488"/>
      <w:bookmarkStart w:id="57" w:name="_Toc11989"/>
      <w:bookmarkStart w:id="58" w:name="_Toc13788"/>
      <w:r>
        <w:rPr>
          <w:rFonts w:hint="eastAsia" w:ascii="宋体" w:hAnsi="宋体" w:cs="宋体"/>
          <w:b/>
          <w:bCs/>
        </w:rPr>
        <w:t>法定代表人</w:t>
      </w:r>
      <w:r>
        <w:rPr>
          <w:rFonts w:hint="eastAsia" w:ascii="宋体" w:hAnsi="宋体" w:cs="宋体"/>
          <w:b/>
          <w:bCs/>
          <w:lang w:eastAsia="zh-CN"/>
        </w:rPr>
        <w:t>（</w:t>
      </w:r>
      <w:r>
        <w:rPr>
          <w:rFonts w:hint="eastAsia" w:ascii="宋体" w:hAnsi="宋体" w:cs="宋体"/>
          <w:b/>
          <w:bCs/>
          <w:lang w:val="en-US" w:eastAsia="zh-CN"/>
        </w:rPr>
        <w:t>分公司负责人</w:t>
      </w:r>
      <w:r>
        <w:rPr>
          <w:rFonts w:hint="eastAsia" w:ascii="宋体" w:hAnsi="宋体" w:cs="宋体"/>
          <w:b/>
          <w:bCs/>
          <w:lang w:eastAsia="zh-CN"/>
        </w:rPr>
        <w:t>）</w:t>
      </w:r>
      <w:r>
        <w:rPr>
          <w:rFonts w:hint="eastAsia" w:ascii="宋体" w:hAnsi="宋体" w:cs="宋体"/>
          <w:b/>
          <w:bCs/>
        </w:rPr>
        <w:t>身份证明</w:t>
      </w:r>
      <w:bookmarkEnd w:id="56"/>
      <w:bookmarkEnd w:id="57"/>
      <w:bookmarkEnd w:id="58"/>
    </w:p>
    <w:p>
      <w:pPr>
        <w:spacing w:line="360" w:lineRule="auto"/>
        <w:ind w:left="765"/>
        <w:rPr>
          <w:rFonts w:ascii="宋体"/>
        </w:rPr>
      </w:pPr>
    </w:p>
    <w:p>
      <w:pPr>
        <w:tabs>
          <w:tab w:val="left" w:pos="5565"/>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比选申请人名称：</w:t>
      </w:r>
      <w:r>
        <w:rPr>
          <w:rFonts w:ascii="宋体"/>
          <w:kern w:val="0"/>
          <w:u w:val="single"/>
        </w:rPr>
        <w:tab/>
      </w:r>
    </w:p>
    <w:p>
      <w:pPr>
        <w:tabs>
          <w:tab w:val="left" w:pos="5475"/>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单位性质：</w:t>
      </w:r>
      <w:r>
        <w:rPr>
          <w:rFonts w:ascii="宋体"/>
          <w:kern w:val="0"/>
          <w:u w:val="single"/>
        </w:rPr>
        <w:tab/>
      </w:r>
    </w:p>
    <w:p>
      <w:pPr>
        <w:tabs>
          <w:tab w:val="left" w:pos="5475"/>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地址：</w:t>
      </w:r>
      <w:r>
        <w:rPr>
          <w:rFonts w:ascii="宋体"/>
          <w:kern w:val="0"/>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成立时间：</w:t>
      </w:r>
      <w:r>
        <w:rPr>
          <w:rFonts w:ascii="宋体"/>
          <w:kern w:val="0"/>
          <w:u w:val="single"/>
        </w:rPr>
        <w:tab/>
      </w:r>
      <w:r>
        <w:rPr>
          <w:rFonts w:hint="eastAsia" w:ascii="宋体" w:hAnsi="宋体" w:cs="宋体"/>
          <w:spacing w:val="-1"/>
          <w:kern w:val="0"/>
        </w:rPr>
        <w:t>年</w:t>
      </w:r>
      <w:r>
        <w:rPr>
          <w:rFonts w:ascii="宋体"/>
          <w:kern w:val="0"/>
          <w:u w:val="single"/>
        </w:rPr>
        <w:tab/>
      </w:r>
      <w:r>
        <w:rPr>
          <w:rFonts w:hint="eastAsia" w:ascii="宋体" w:hAnsi="宋体" w:cs="宋体"/>
          <w:spacing w:val="-1"/>
          <w:kern w:val="0"/>
        </w:rPr>
        <w:t>月</w:t>
      </w:r>
      <w:r>
        <w:rPr>
          <w:rFonts w:hint="eastAsia" w:ascii="宋体" w:hAnsi="宋体" w:cs="宋体"/>
          <w:kern w:val="0"/>
        </w:rPr>
        <w:t>日</w:t>
      </w:r>
    </w:p>
    <w:p>
      <w:pPr>
        <w:tabs>
          <w:tab w:val="left" w:pos="5475"/>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经营期限：</w:t>
      </w:r>
      <w:r>
        <w:rPr>
          <w:rFonts w:ascii="宋体"/>
          <w:kern w:val="0"/>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姓名：</w:t>
      </w:r>
      <w:r>
        <w:rPr>
          <w:rFonts w:ascii="宋体"/>
          <w:kern w:val="0"/>
          <w:u w:val="single"/>
        </w:rPr>
        <w:tab/>
      </w:r>
      <w:r>
        <w:rPr>
          <w:rFonts w:hint="eastAsia" w:ascii="宋体" w:hAnsi="宋体" w:cs="宋体"/>
          <w:kern w:val="0"/>
        </w:rPr>
        <w:t>性别</w:t>
      </w:r>
      <w:r>
        <w:rPr>
          <w:rFonts w:hint="eastAsia" w:ascii="宋体" w:hAnsi="宋体" w:cs="宋体"/>
          <w:spacing w:val="-1"/>
          <w:kern w:val="0"/>
        </w:rPr>
        <w:t>：</w:t>
      </w:r>
      <w:r>
        <w:rPr>
          <w:rFonts w:ascii="宋体"/>
          <w:kern w:val="0"/>
          <w:u w:val="single"/>
        </w:rPr>
        <w:tab/>
      </w:r>
      <w:r>
        <w:rPr>
          <w:rFonts w:hint="eastAsia" w:ascii="宋体" w:hAnsi="宋体" w:cs="宋体"/>
          <w:spacing w:val="-1"/>
          <w:kern w:val="0"/>
        </w:rPr>
        <w:t>年</w:t>
      </w:r>
      <w:r>
        <w:rPr>
          <w:rFonts w:hint="eastAsia" w:ascii="宋体" w:hAnsi="宋体" w:cs="宋体"/>
          <w:kern w:val="0"/>
        </w:rPr>
        <w:t>龄：</w:t>
      </w:r>
      <w:r>
        <w:rPr>
          <w:rFonts w:ascii="宋体"/>
          <w:kern w:val="0"/>
          <w:u w:val="single"/>
        </w:rPr>
        <w:tab/>
      </w:r>
      <w:r>
        <w:rPr>
          <w:rFonts w:hint="eastAsia" w:ascii="宋体" w:hAnsi="宋体" w:cs="宋体"/>
          <w:kern w:val="0"/>
        </w:rPr>
        <w:t>职务：</w:t>
      </w:r>
      <w:r>
        <w:rPr>
          <w:rFonts w:ascii="宋体"/>
          <w:kern w:val="0"/>
          <w:u w:val="single"/>
        </w:rPr>
        <w:tab/>
      </w:r>
    </w:p>
    <w:p>
      <w:pPr>
        <w:tabs>
          <w:tab w:val="left" w:pos="3360"/>
        </w:tabs>
        <w:autoSpaceDE w:val="0"/>
        <w:autoSpaceDN w:val="0"/>
        <w:adjustRightInd w:val="0"/>
        <w:snapToGrid w:val="0"/>
        <w:spacing w:line="360" w:lineRule="auto"/>
        <w:ind w:firstLine="390" w:firstLineChars="186"/>
        <w:jc w:val="left"/>
        <w:rPr>
          <w:rFonts w:ascii="宋体"/>
          <w:kern w:val="0"/>
        </w:rPr>
      </w:pPr>
      <w:r>
        <w:rPr>
          <w:rFonts w:hint="eastAsia" w:ascii="宋体" w:hAnsi="宋体" w:cs="宋体"/>
          <w:kern w:val="0"/>
        </w:rPr>
        <w:t>系</w:t>
      </w:r>
      <w:r>
        <w:rPr>
          <w:rFonts w:ascii="宋体"/>
          <w:kern w:val="0"/>
          <w:u w:val="single"/>
        </w:rPr>
        <w:tab/>
      </w:r>
      <w:r>
        <w:rPr>
          <w:rFonts w:hint="eastAsia" w:ascii="宋体" w:hAnsi="宋体" w:cs="宋体"/>
          <w:kern w:val="0"/>
        </w:rPr>
        <w:t>（比选申请人名称）的法定代表人</w:t>
      </w:r>
      <w:r>
        <w:rPr>
          <w:rFonts w:hint="eastAsia"/>
          <w:sz w:val="21"/>
          <w:szCs w:val="21"/>
          <w:lang w:eastAsia="zh-CN"/>
        </w:rPr>
        <w:t>（</w:t>
      </w:r>
      <w:r>
        <w:rPr>
          <w:rFonts w:hint="eastAsia"/>
          <w:sz w:val="21"/>
          <w:szCs w:val="21"/>
          <w:lang w:val="en-US" w:eastAsia="zh-CN"/>
        </w:rPr>
        <w:t>分公司负责人</w:t>
      </w:r>
      <w:r>
        <w:rPr>
          <w:rFonts w:hint="eastAsia"/>
          <w:sz w:val="21"/>
          <w:szCs w:val="21"/>
          <w:lang w:eastAsia="zh-CN"/>
        </w:rPr>
        <w:t>）</w:t>
      </w:r>
      <w:r>
        <w:rPr>
          <w:rFonts w:hint="eastAsia" w:ascii="宋体" w:hAnsi="宋体" w:cs="宋体"/>
          <w:kern w:val="0"/>
        </w:rPr>
        <w:t>。</w:t>
      </w:r>
    </w:p>
    <w:p>
      <w:pPr>
        <w:autoSpaceDE w:val="0"/>
        <w:autoSpaceDN w:val="0"/>
        <w:adjustRightInd w:val="0"/>
        <w:snapToGrid w:val="0"/>
        <w:spacing w:line="360" w:lineRule="auto"/>
        <w:ind w:firstLine="390" w:firstLineChars="186"/>
        <w:jc w:val="left"/>
        <w:rPr>
          <w:rFonts w:ascii="宋体"/>
          <w:kern w:val="0"/>
        </w:rPr>
      </w:pPr>
    </w:p>
    <w:p>
      <w:pPr>
        <w:autoSpaceDE w:val="0"/>
        <w:autoSpaceDN w:val="0"/>
        <w:adjustRightInd w:val="0"/>
        <w:snapToGrid w:val="0"/>
        <w:spacing w:line="360" w:lineRule="auto"/>
        <w:ind w:firstLine="810" w:firstLineChars="386"/>
        <w:jc w:val="left"/>
        <w:rPr>
          <w:rFonts w:ascii="宋体"/>
          <w:kern w:val="0"/>
        </w:rPr>
      </w:pPr>
      <w:r>
        <w:rPr>
          <w:rFonts w:hint="eastAsia" w:ascii="宋体" w:hAnsi="宋体" w:cs="宋体"/>
          <w:kern w:val="0"/>
        </w:rPr>
        <w:t>特此证明。</w:t>
      </w:r>
    </w:p>
    <w:p>
      <w:pPr>
        <w:autoSpaceDE w:val="0"/>
        <w:autoSpaceDN w:val="0"/>
        <w:adjustRightInd w:val="0"/>
        <w:snapToGrid w:val="0"/>
        <w:spacing w:line="360" w:lineRule="auto"/>
        <w:jc w:val="left"/>
        <w:rPr>
          <w:rFonts w:ascii="宋体"/>
          <w:kern w:val="0"/>
        </w:rPr>
      </w:pPr>
    </w:p>
    <w:p>
      <w:pPr>
        <w:tabs>
          <w:tab w:val="left" w:pos="5460"/>
        </w:tabs>
        <w:autoSpaceDE w:val="0"/>
        <w:autoSpaceDN w:val="0"/>
        <w:adjustRightInd w:val="0"/>
        <w:snapToGrid w:val="0"/>
        <w:spacing w:line="360" w:lineRule="auto"/>
        <w:ind w:firstLine="2100"/>
        <w:jc w:val="left"/>
        <w:rPr>
          <w:rFonts w:ascii="宋体"/>
          <w:kern w:val="0"/>
        </w:rPr>
      </w:pPr>
      <w:r>
        <w:rPr>
          <w:rFonts w:hint="eastAsia" w:ascii="宋体" w:hAnsi="宋体" w:cs="宋体"/>
          <w:kern w:val="0"/>
        </w:rPr>
        <w:t>比选申请人：</w:t>
      </w:r>
      <w:r>
        <w:rPr>
          <w:rFonts w:ascii="宋体"/>
          <w:kern w:val="0"/>
          <w:u w:val="single"/>
        </w:rPr>
        <w:tab/>
      </w:r>
      <w:r>
        <w:rPr>
          <w:rFonts w:hint="eastAsia" w:ascii="宋体" w:hAnsi="宋体" w:cs="宋体"/>
          <w:spacing w:val="-1"/>
          <w:kern w:val="0"/>
        </w:rPr>
        <w:t>（</w:t>
      </w:r>
      <w:r>
        <w:rPr>
          <w:rFonts w:hint="eastAsia" w:ascii="宋体" w:hAnsi="宋体" w:cs="宋体"/>
          <w:kern w:val="0"/>
        </w:rPr>
        <w:t>盖单位公章）</w:t>
      </w:r>
    </w:p>
    <w:p>
      <w:pPr>
        <w:autoSpaceDE w:val="0"/>
        <w:autoSpaceDN w:val="0"/>
        <w:adjustRightInd w:val="0"/>
        <w:snapToGrid w:val="0"/>
        <w:spacing w:line="360" w:lineRule="auto"/>
        <w:jc w:val="left"/>
        <w:rPr>
          <w:rFonts w:ascii="宋体"/>
          <w:kern w:val="0"/>
        </w:rPr>
      </w:pPr>
    </w:p>
    <w:p>
      <w:pPr>
        <w:tabs>
          <w:tab w:val="left" w:pos="4935"/>
          <w:tab w:val="left" w:pos="5460"/>
          <w:tab w:val="left" w:pos="6400"/>
        </w:tabs>
        <w:autoSpaceDE w:val="0"/>
        <w:autoSpaceDN w:val="0"/>
        <w:adjustRightInd w:val="0"/>
        <w:snapToGrid w:val="0"/>
        <w:spacing w:line="360" w:lineRule="auto"/>
        <w:ind w:firstLine="3780"/>
        <w:jc w:val="left"/>
        <w:rPr>
          <w:rFonts w:ascii="宋体"/>
          <w:kern w:val="0"/>
        </w:rPr>
      </w:pPr>
      <w:r>
        <w:rPr>
          <w:rFonts w:ascii="宋体"/>
          <w:kern w:val="0"/>
          <w:u w:val="single"/>
        </w:rPr>
        <w:tab/>
      </w:r>
      <w:r>
        <w:rPr>
          <w:rFonts w:hint="eastAsia" w:ascii="宋体" w:hAnsi="宋体" w:cs="宋体"/>
          <w:spacing w:val="-1"/>
          <w:kern w:val="0"/>
        </w:rPr>
        <w:t>年</w:t>
      </w:r>
      <w:r>
        <w:rPr>
          <w:rFonts w:hint="eastAsia" w:ascii="宋体" w:hAnsi="宋体" w:cs="宋体"/>
          <w:kern w:val="0"/>
        </w:rPr>
        <w:t>月日</w:t>
      </w:r>
    </w:p>
    <w:p>
      <w:pPr>
        <w:autoSpaceDE w:val="0"/>
        <w:autoSpaceDN w:val="0"/>
        <w:adjustRightInd w:val="0"/>
        <w:snapToGrid w:val="0"/>
        <w:spacing w:line="360" w:lineRule="auto"/>
        <w:jc w:val="left"/>
        <w:rPr>
          <w:rFonts w:ascii="宋体"/>
          <w:kern w:val="0"/>
        </w:rPr>
      </w:pPr>
    </w:p>
    <w:tbl>
      <w:tblPr>
        <w:tblStyle w:val="9"/>
        <w:tblpPr w:leftFromText="180" w:rightFromText="180" w:vertAnchor="text" w:horzAnchor="margin" w:tblpY="735"/>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360" w:lineRule="auto"/>
              <w:ind w:firstLine="211" w:firstLineChars="100"/>
              <w:rPr>
                <w:rFonts w:ascii="宋体"/>
                <w:b/>
                <w:bCs/>
              </w:rPr>
            </w:pPr>
          </w:p>
          <w:p>
            <w:pPr>
              <w:spacing w:line="360" w:lineRule="auto"/>
              <w:ind w:firstLine="211" w:firstLineChars="100"/>
              <w:rPr>
                <w:rFonts w:ascii="宋体"/>
                <w:b/>
                <w:bCs/>
              </w:rPr>
            </w:pPr>
            <w:r>
              <w:rPr>
                <w:rFonts w:hint="eastAsia" w:ascii="宋体" w:hAnsi="宋体" w:cs="宋体"/>
                <w:b/>
                <w:bCs/>
              </w:rPr>
              <w:t>法定代表人身份证正面复印件</w:t>
            </w:r>
          </w:p>
          <w:p>
            <w:pPr>
              <w:spacing w:line="360" w:lineRule="auto"/>
              <w:rPr>
                <w:rFonts w:ascii="宋体"/>
                <w:b/>
                <w:bCs/>
              </w:rPr>
            </w:pPr>
          </w:p>
        </w:tc>
      </w:tr>
    </w:tbl>
    <w:p>
      <w:pPr>
        <w:spacing w:line="360" w:lineRule="auto"/>
        <w:rPr>
          <w:rFonts w:ascii="宋体"/>
          <w:vanish/>
        </w:rPr>
      </w:pPr>
    </w:p>
    <w:tbl>
      <w:tblPr>
        <w:tblStyle w:val="9"/>
        <w:tblpPr w:leftFromText="180" w:rightFromText="180" w:vertAnchor="text" w:horzAnchor="margin" w:tblpXSpec="right" w:tblpY="6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360" w:lineRule="auto"/>
              <w:ind w:firstLine="211" w:firstLineChars="100"/>
              <w:rPr>
                <w:rFonts w:ascii="宋体"/>
                <w:b/>
                <w:bCs/>
              </w:rPr>
            </w:pPr>
          </w:p>
          <w:p>
            <w:pPr>
              <w:spacing w:line="360" w:lineRule="auto"/>
              <w:ind w:firstLine="211" w:firstLineChars="100"/>
              <w:rPr>
                <w:rFonts w:ascii="宋体"/>
                <w:b/>
                <w:bCs/>
              </w:rPr>
            </w:pPr>
            <w:r>
              <w:rPr>
                <w:rFonts w:hint="eastAsia" w:ascii="宋体" w:hAnsi="宋体" w:cs="宋体"/>
                <w:b/>
                <w:bCs/>
              </w:rPr>
              <w:t>法定代表人身份证背面复印件</w:t>
            </w:r>
          </w:p>
          <w:p>
            <w:pPr>
              <w:spacing w:line="360" w:lineRule="auto"/>
              <w:rPr>
                <w:rFonts w:ascii="宋体"/>
                <w:b/>
                <w:bCs/>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kern w:val="0"/>
        </w:rPr>
      </w:pPr>
    </w:p>
    <w:p>
      <w:pPr>
        <w:pStyle w:val="5"/>
        <w:spacing w:line="360" w:lineRule="auto"/>
        <w:rPr>
          <w:rFonts w:ascii="宋体"/>
          <w:sz w:val="21"/>
          <w:szCs w:val="21"/>
        </w:rPr>
        <w:sectPr>
          <w:pgSz w:w="11906" w:h="16838"/>
          <w:pgMar w:top="1276" w:right="1162" w:bottom="1135" w:left="1134" w:header="851" w:footer="992" w:gutter="0"/>
          <w:pgNumType w:fmt="decimal"/>
          <w:cols w:space="720" w:num="1"/>
          <w:titlePg/>
          <w:docGrid w:type="lines" w:linePitch="312" w:charSpace="0"/>
        </w:sectPr>
      </w:pPr>
    </w:p>
    <w:p>
      <w:pPr>
        <w:spacing w:line="360" w:lineRule="auto"/>
      </w:pPr>
    </w:p>
    <w:p>
      <w:pPr>
        <w:spacing w:line="360" w:lineRule="auto"/>
      </w:pPr>
    </w:p>
    <w:p>
      <w:pPr>
        <w:spacing w:line="360" w:lineRule="auto"/>
        <w:jc w:val="center"/>
        <w:outlineLvl w:val="0"/>
        <w:rPr>
          <w:rFonts w:ascii="宋体"/>
          <w:b/>
          <w:bCs/>
          <w:sz w:val="28"/>
          <w:szCs w:val="28"/>
        </w:rPr>
      </w:pPr>
      <w:bookmarkStart w:id="59" w:name="_Toc12557"/>
      <w:bookmarkStart w:id="60" w:name="_Toc120633489"/>
      <w:bookmarkStart w:id="61" w:name="_Toc26105"/>
      <w:r>
        <w:rPr>
          <w:rFonts w:hint="eastAsia" w:ascii="宋体" w:hAnsi="宋体" w:cs="宋体"/>
          <w:b/>
          <w:bCs/>
          <w:sz w:val="28"/>
          <w:szCs w:val="28"/>
        </w:rPr>
        <w:t>比选文件规定的其它资料</w:t>
      </w:r>
      <w:bookmarkEnd w:id="59"/>
      <w:bookmarkEnd w:id="60"/>
      <w:bookmarkEnd w:id="61"/>
    </w:p>
    <w:p>
      <w:pPr>
        <w:spacing w:line="360" w:lineRule="auto"/>
        <w:ind w:firstLine="630" w:firstLineChars="300"/>
        <w:jc w:val="left"/>
        <w:rPr>
          <w:rFonts w:ascii="宋体" w:hAnsi="宋体" w:cs="宋体"/>
        </w:rPr>
      </w:pPr>
    </w:p>
    <w:p>
      <w:pPr>
        <w:spacing w:line="360" w:lineRule="auto"/>
        <w:ind w:firstLine="630" w:firstLineChars="300"/>
        <w:jc w:val="left"/>
        <w:rPr>
          <w:rFonts w:ascii="宋体" w:hAnsi="宋体" w:cs="宋体"/>
        </w:rPr>
      </w:pPr>
      <w:r>
        <w:rPr>
          <w:rFonts w:hint="eastAsia" w:ascii="宋体" w:hAnsi="宋体" w:cs="宋体"/>
        </w:rPr>
        <w:t>（如商务部分及技术部分的评分资料、比选申请人认为参与此次比选应提交的其他资料）</w:t>
      </w: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jc w:val="center"/>
        <w:rPr>
          <w:rFonts w:ascii="宋体"/>
          <w:b/>
          <w:bCs/>
          <w:sz w:val="28"/>
          <w:szCs w:val="28"/>
        </w:rPr>
      </w:pPr>
    </w:p>
    <w:p>
      <w:pPr>
        <w:spacing w:line="360" w:lineRule="auto"/>
        <w:rPr>
          <w:rFonts w:ascii="宋体"/>
          <w:b/>
          <w:bCs/>
          <w:sz w:val="28"/>
          <w:szCs w:val="28"/>
        </w:rPr>
      </w:pPr>
    </w:p>
    <w:p>
      <w:pPr>
        <w:pStyle w:val="11"/>
      </w:pPr>
    </w:p>
    <w:p>
      <w:pPr>
        <w:rPr>
          <w:rFonts w:ascii="宋体"/>
          <w:b/>
          <w:bCs/>
          <w:sz w:val="28"/>
          <w:szCs w:val="28"/>
        </w:rPr>
      </w:pPr>
      <w:r>
        <w:rPr>
          <w:rFonts w:ascii="宋体"/>
          <w:b/>
          <w:bCs/>
          <w:sz w:val="28"/>
          <w:szCs w:val="28"/>
        </w:rPr>
        <w:br w:type="page"/>
      </w:r>
    </w:p>
    <w:p>
      <w:pPr>
        <w:pStyle w:val="2"/>
      </w:pPr>
    </w:p>
    <w:p>
      <w:pPr>
        <w:numPr>
          <w:ilvl w:val="0"/>
          <w:numId w:val="4"/>
        </w:numPr>
        <w:spacing w:line="360" w:lineRule="auto"/>
        <w:jc w:val="center"/>
        <w:outlineLvl w:val="0"/>
        <w:rPr>
          <w:rFonts w:ascii="宋体" w:hAnsi="宋体" w:cs="宋体"/>
          <w:b/>
          <w:bCs/>
          <w:sz w:val="28"/>
          <w:szCs w:val="28"/>
        </w:rPr>
      </w:pPr>
      <w:bookmarkStart w:id="62" w:name="_Toc120633490"/>
      <w:bookmarkStart w:id="63" w:name="_Toc30810"/>
      <w:r>
        <w:rPr>
          <w:rFonts w:hint="eastAsia" w:ascii="宋体" w:hAnsi="宋体" w:cs="宋体"/>
          <w:b/>
          <w:bCs/>
          <w:sz w:val="28"/>
          <w:szCs w:val="28"/>
        </w:rPr>
        <w:t>合同条款</w:t>
      </w:r>
      <w:bookmarkEnd w:id="62"/>
      <w:bookmarkEnd w:id="63"/>
    </w:p>
    <w:p>
      <w:pPr>
        <w:spacing w:line="520" w:lineRule="exact"/>
        <w:ind w:firstLine="420" w:firstLineChars="200"/>
        <w:jc w:val="center"/>
        <w:rPr>
          <w:highlight w:val="none"/>
        </w:rPr>
      </w:pPr>
      <w:r>
        <w:rPr>
          <w:rFonts w:hint="eastAsia"/>
          <w:highlight w:val="none"/>
        </w:rPr>
        <w:t>（以下为通用参考格式，最终条款以比选人与中选人协商为准）</w:t>
      </w:r>
    </w:p>
    <w:p>
      <w:pPr>
        <w:rPr>
          <w:rFonts w:ascii="黑体" w:hAnsi="华文仿宋" w:eastAsia="黑体"/>
          <w:b/>
          <w:sz w:val="52"/>
          <w:szCs w:val="52"/>
        </w:rPr>
      </w:pPr>
      <w:r>
        <w:rPr>
          <w:rFonts w:hint="eastAsia" w:ascii="黑体" w:hAnsi="华文仿宋" w:eastAsia="黑体"/>
          <w:b/>
          <w:sz w:val="52"/>
          <w:szCs w:val="52"/>
        </w:rPr>
        <w:br w:type="page"/>
      </w:r>
    </w:p>
    <w:p>
      <w:pPr>
        <w:adjustRightInd w:val="0"/>
        <w:snapToGrid w:val="0"/>
        <w:spacing w:line="360" w:lineRule="auto"/>
        <w:jc w:val="center"/>
        <w:rPr>
          <w:rFonts w:ascii="黑体" w:hAnsi="华文仿宋" w:eastAsia="黑体"/>
          <w:b/>
          <w:sz w:val="52"/>
          <w:szCs w:val="52"/>
        </w:rPr>
      </w:pPr>
      <w:r>
        <w:rPr>
          <w:rFonts w:hint="eastAsia" w:ascii="黑体" w:hAnsi="华文仿宋" w:eastAsia="黑体"/>
          <w:b/>
          <w:sz w:val="52"/>
          <w:szCs w:val="52"/>
        </w:rPr>
        <w:t>补充医疗保险协议</w:t>
      </w:r>
    </w:p>
    <w:p>
      <w:pPr>
        <w:pStyle w:val="5"/>
      </w:pPr>
    </w:p>
    <w:p>
      <w:pPr>
        <w:spacing w:line="520" w:lineRule="exact"/>
        <w:ind w:firstLine="420" w:firstLineChars="200"/>
      </w:pPr>
      <w:r>
        <w:rPr>
          <w:rFonts w:hint="eastAsia"/>
        </w:rPr>
        <w:t>根据《中华人民共和国民法典》和《中华人民共和国保险法》以及其他相关法律、 法规的有关规定，甲乙双方在平等互利的基础上，经友好协商，就甲方向乙方投保员工补充医疗保险计划事宜，达成如下协议。</w:t>
      </w:r>
    </w:p>
    <w:p>
      <w:pPr>
        <w:spacing w:line="520" w:lineRule="exact"/>
        <w:ind w:firstLine="420" w:firstLineChars="200"/>
      </w:pPr>
      <w:bookmarkStart w:id="64" w:name="_Toc21622"/>
      <w:r>
        <w:rPr>
          <w:rFonts w:hint="eastAsia"/>
        </w:rPr>
        <w:t>一、保险协议构成</w:t>
      </w:r>
      <w:bookmarkEnd w:id="64"/>
      <w:r>
        <w:rPr>
          <w:rFonts w:hint="eastAsia"/>
        </w:rPr>
        <w:tab/>
      </w:r>
    </w:p>
    <w:p>
      <w:pPr>
        <w:spacing w:line="520" w:lineRule="exact"/>
        <w:ind w:firstLine="420" w:firstLineChars="200"/>
      </w:pPr>
      <w:r>
        <w:rPr>
          <w:rFonts w:hint="eastAsia"/>
        </w:rPr>
        <w:t>本保险协议所附条款、保单、投保单及与本协议有关的被保险人名册等投保文件， 合法有效的声明、批注、附贴批单，其他经签署的书面协议等凡与本协议相关者，均为本协议的有效构成部分。</w:t>
      </w:r>
    </w:p>
    <w:p>
      <w:pPr>
        <w:spacing w:line="520" w:lineRule="exact"/>
        <w:ind w:firstLine="420" w:firstLineChars="200"/>
      </w:pPr>
      <w:bookmarkStart w:id="65" w:name="_Toc13308"/>
      <w:r>
        <w:rPr>
          <w:rFonts w:hint="eastAsia"/>
        </w:rPr>
        <w:t>二、投保人、保险人、被保险人</w:t>
      </w:r>
      <w:bookmarkEnd w:id="65"/>
    </w:p>
    <w:p>
      <w:pPr>
        <w:spacing w:line="520" w:lineRule="exact"/>
        <w:ind w:firstLine="420" w:firstLineChars="200"/>
      </w:pPr>
      <w:r>
        <w:rPr>
          <w:rFonts w:hint="eastAsia"/>
        </w:rPr>
        <w:t xml:space="preserve">  </w:t>
      </w:r>
      <w:bookmarkStart w:id="66" w:name="_Toc6175"/>
      <w:r>
        <w:rPr>
          <w:rFonts w:hint="eastAsia"/>
        </w:rPr>
        <w:t>1.甲方为投保人（下文中统称“投保人”）</w:t>
      </w:r>
      <w:bookmarkEnd w:id="66"/>
    </w:p>
    <w:p>
      <w:pPr>
        <w:spacing w:line="520" w:lineRule="exact"/>
        <w:ind w:firstLine="420" w:firstLineChars="200"/>
      </w:pPr>
      <w:r>
        <w:rPr>
          <w:rFonts w:hint="eastAsia"/>
        </w:rPr>
        <w:t xml:space="preserve"> </w:t>
      </w:r>
      <w:bookmarkStart w:id="67" w:name="_Toc10563"/>
      <w:r>
        <w:rPr>
          <w:rFonts w:hint="eastAsia"/>
        </w:rPr>
        <w:t xml:space="preserve"> 2.乙方为保险人（下文中统称“保险人”）</w:t>
      </w:r>
      <w:bookmarkEnd w:id="67"/>
    </w:p>
    <w:p>
      <w:pPr>
        <w:spacing w:line="520" w:lineRule="exact"/>
        <w:ind w:firstLine="420" w:firstLineChars="200"/>
      </w:pPr>
      <w:r>
        <w:rPr>
          <w:rFonts w:hint="eastAsia"/>
        </w:rPr>
        <w:t xml:space="preserve">  </w:t>
      </w:r>
      <w:bookmarkStart w:id="68" w:name="_Toc11291"/>
      <w:r>
        <w:rPr>
          <w:rFonts w:hint="eastAsia"/>
        </w:rPr>
        <w:t>3.被保险人为甲方的员工。</w:t>
      </w:r>
      <w:bookmarkEnd w:id="68"/>
      <w:r>
        <w:rPr>
          <w:rFonts w:hint="eastAsia"/>
        </w:rPr>
        <w:t xml:space="preserve"> </w:t>
      </w:r>
    </w:p>
    <w:p>
      <w:pPr>
        <w:spacing w:line="520" w:lineRule="exact"/>
        <w:ind w:firstLine="420" w:firstLineChars="200"/>
      </w:pPr>
      <w:bookmarkStart w:id="69" w:name="_Toc29690"/>
      <w:r>
        <w:rPr>
          <w:rFonts w:hint="eastAsia"/>
        </w:rPr>
        <w:t>三、保险范围</w:t>
      </w:r>
      <w:bookmarkEnd w:id="69"/>
    </w:p>
    <w:p>
      <w:pPr>
        <w:spacing w:line="520" w:lineRule="exact"/>
        <w:ind w:firstLine="420" w:firstLineChars="200"/>
      </w:pPr>
      <w:r>
        <w:rPr>
          <w:rFonts w:hint="eastAsia"/>
        </w:rPr>
        <w:t xml:space="preserve"> </w:t>
      </w:r>
      <w:bookmarkStart w:id="70" w:name="_Toc4504"/>
      <w:r>
        <w:rPr>
          <w:rFonts w:hint="eastAsia"/>
        </w:rPr>
        <w:t>由甲方统一为其所有在职职工及退休职工投保本保险，参保人员以甲方提供的被</w:t>
      </w:r>
      <w:bookmarkEnd w:id="70"/>
      <w:r>
        <w:rPr>
          <w:rFonts w:hint="eastAsia"/>
        </w:rPr>
        <w:t>保险人名单为准。</w:t>
      </w:r>
    </w:p>
    <w:p>
      <w:pPr>
        <w:spacing w:line="520" w:lineRule="exact"/>
        <w:ind w:firstLine="420" w:firstLineChars="200"/>
      </w:pPr>
      <w:r>
        <w:rPr>
          <w:rFonts w:hint="eastAsia"/>
        </w:rPr>
        <w:t>四、保险方案</w:t>
      </w:r>
    </w:p>
    <w:p>
      <w:pPr>
        <w:pStyle w:val="2"/>
        <w:ind w:firstLine="630" w:firstLineChars="300"/>
        <w:rPr>
          <w:sz w:val="21"/>
          <w:szCs w:val="21"/>
        </w:rPr>
      </w:pPr>
      <w:r>
        <w:rPr>
          <w:rFonts w:hint="eastAsia"/>
          <w:sz w:val="21"/>
          <w:szCs w:val="21"/>
          <w:u w:val="single"/>
        </w:rPr>
        <w:t xml:space="preserve">                     </w:t>
      </w:r>
      <w:r>
        <w:rPr>
          <w:rFonts w:hint="eastAsia"/>
          <w:sz w:val="21"/>
          <w:szCs w:val="21"/>
        </w:rPr>
        <w:t>（合同签订时双方共同协商拟定）</w:t>
      </w:r>
    </w:p>
    <w:p>
      <w:pPr>
        <w:spacing w:line="520" w:lineRule="exact"/>
        <w:ind w:firstLine="420" w:firstLineChars="200"/>
      </w:pPr>
      <w:r>
        <w:rPr>
          <w:rFonts w:hint="eastAsia"/>
        </w:rPr>
        <w:t>五、保险期间</w:t>
      </w:r>
    </w:p>
    <w:p>
      <w:pPr>
        <w:spacing w:line="520" w:lineRule="exact"/>
        <w:ind w:left="630"/>
      </w:pPr>
      <w:r>
        <w:rPr>
          <w:rFonts w:hint="eastAsia"/>
        </w:rPr>
        <w:t>本协议保险期间为一年，自   年  月  日零时起至  年  月  日二十四时止。</w:t>
      </w:r>
    </w:p>
    <w:p>
      <w:pPr>
        <w:spacing w:line="520" w:lineRule="exact"/>
        <w:ind w:firstLine="420" w:firstLineChars="200"/>
      </w:pPr>
      <w:bookmarkStart w:id="71" w:name="_Toc26045"/>
      <w:r>
        <w:rPr>
          <w:rFonts w:hint="eastAsia"/>
        </w:rPr>
        <w:t>六、履约保证金</w:t>
      </w:r>
      <w:bookmarkEnd w:id="71"/>
    </w:p>
    <w:p>
      <w:pPr>
        <w:spacing w:line="520" w:lineRule="exact"/>
        <w:ind w:firstLine="420" w:firstLineChars="200"/>
      </w:pPr>
      <w:r>
        <w:rPr>
          <w:rFonts w:hint="eastAsia"/>
        </w:rPr>
        <w:t>按比选文件要求，乙方作为成交方缴纳履约保证金         元（ 大写     元整），待合同履约完成后退还（不计息）。</w:t>
      </w:r>
    </w:p>
    <w:p>
      <w:pPr>
        <w:spacing w:line="520" w:lineRule="exact"/>
        <w:ind w:firstLine="420" w:firstLineChars="200"/>
      </w:pPr>
      <w:bookmarkStart w:id="72" w:name="_Toc31811"/>
      <w:r>
        <w:rPr>
          <w:rFonts w:hint="eastAsia"/>
        </w:rPr>
        <w:t>七、保费的缴纳</w:t>
      </w:r>
      <w:bookmarkEnd w:id="72"/>
    </w:p>
    <w:p>
      <w:pPr>
        <w:spacing w:line="520" w:lineRule="exact"/>
        <w:ind w:firstLine="420" w:firstLineChars="200"/>
      </w:pPr>
      <w:r>
        <w:rPr>
          <w:rFonts w:hint="eastAsia"/>
        </w:rPr>
        <w:t>1.在职职工保费为人民币：        元/人/年，退休职工保费为人民币：      元/人/年。甲方收到发票后 10 个工作日内，向乙方一次性缴纳足额保险费，如逾期未缴，乙方将不承担相应期间的保险责任，保单生效日期按照保费到账次日生效, 保险止期以此为计算基础进行顺延。</w:t>
      </w:r>
    </w:p>
    <w:p>
      <w:pPr>
        <w:spacing w:line="520" w:lineRule="exact"/>
        <w:ind w:firstLine="420" w:firstLineChars="200"/>
      </w:pPr>
      <w:r>
        <w:rPr>
          <w:rFonts w:hint="eastAsia"/>
        </w:rPr>
        <w:t>甲方账户名称如下：</w:t>
      </w:r>
    </w:p>
    <w:p>
      <w:pPr>
        <w:spacing w:line="520" w:lineRule="exact"/>
        <w:ind w:firstLine="420" w:firstLineChars="200"/>
      </w:pPr>
      <w:r>
        <w:rPr>
          <w:rFonts w:hint="eastAsia"/>
        </w:rPr>
        <w:t>账户名：</w:t>
      </w:r>
    </w:p>
    <w:p>
      <w:pPr>
        <w:spacing w:line="520" w:lineRule="exact"/>
        <w:ind w:firstLine="420" w:firstLineChars="200"/>
      </w:pPr>
      <w:r>
        <w:rPr>
          <w:rFonts w:hint="eastAsia"/>
        </w:rPr>
        <w:t>开户行：</w:t>
      </w:r>
    </w:p>
    <w:p>
      <w:pPr>
        <w:spacing w:line="520" w:lineRule="exact"/>
        <w:ind w:firstLine="420" w:firstLineChars="200"/>
      </w:pPr>
      <w:r>
        <w:rPr>
          <w:rFonts w:hint="eastAsia"/>
        </w:rPr>
        <w:t>账号：</w:t>
      </w:r>
    </w:p>
    <w:p>
      <w:pPr>
        <w:pStyle w:val="2"/>
      </w:pPr>
    </w:p>
    <w:p>
      <w:pPr>
        <w:spacing w:line="520" w:lineRule="exact"/>
        <w:ind w:firstLine="420" w:firstLineChars="200"/>
      </w:pPr>
      <w:r>
        <w:rPr>
          <w:rFonts w:hint="eastAsia"/>
        </w:rPr>
        <w:t>乙方账户名称如下：</w:t>
      </w:r>
    </w:p>
    <w:p>
      <w:pPr>
        <w:spacing w:line="520" w:lineRule="exact"/>
        <w:ind w:firstLine="420" w:firstLineChars="200"/>
      </w:pPr>
      <w:r>
        <w:rPr>
          <w:rFonts w:hint="eastAsia"/>
        </w:rPr>
        <w:t>账户名：</w:t>
      </w:r>
    </w:p>
    <w:p>
      <w:pPr>
        <w:spacing w:line="520" w:lineRule="exact"/>
        <w:ind w:firstLine="420" w:firstLineChars="200"/>
      </w:pPr>
      <w:r>
        <w:rPr>
          <w:rFonts w:hint="eastAsia"/>
        </w:rPr>
        <w:t>开户行：</w:t>
      </w:r>
    </w:p>
    <w:p>
      <w:pPr>
        <w:spacing w:line="520" w:lineRule="exact"/>
        <w:ind w:firstLine="420" w:firstLineChars="200"/>
      </w:pPr>
      <w:r>
        <w:rPr>
          <w:rFonts w:hint="eastAsia"/>
        </w:rPr>
        <w:t>账号：</w:t>
      </w:r>
    </w:p>
    <w:p>
      <w:pPr>
        <w:spacing w:line="520" w:lineRule="exact"/>
        <w:ind w:firstLine="420" w:firstLineChars="200"/>
      </w:pPr>
      <w:r>
        <w:rPr>
          <w:rFonts w:hint="eastAsia"/>
        </w:rPr>
        <w:t>2.甲方新进员工的保险责任开始时间以甲方通知时间为准。甲方将新增参保人员名单发送到乙方指定邮箱：       （包括签订时间、姓名、身份证号码、工种等）。乙方收到邮件后必须进行回复确认。如乙方在邮件发送后 24 小时内未进行回复，甲方须电话联系乙方人员并重新发送名单。</w:t>
      </w:r>
    </w:p>
    <w:p>
      <w:pPr>
        <w:spacing w:line="520" w:lineRule="exact"/>
        <w:ind w:firstLine="420" w:firstLineChars="200"/>
      </w:pPr>
      <w:r>
        <w:rPr>
          <w:rFonts w:hint="eastAsia"/>
        </w:rPr>
        <w:t>3.在保险期间内，对于增加、减少被保险人时应收（应退）保费采用定期结算的方式，</w:t>
      </w:r>
    </w:p>
    <w:p>
      <w:pPr>
        <w:spacing w:line="520" w:lineRule="exact"/>
        <w:ind w:firstLine="420" w:firstLineChars="200"/>
      </w:pPr>
      <w:r>
        <w:rPr>
          <w:rFonts w:hint="eastAsia"/>
        </w:rPr>
        <w:t>结算周期为季结，在此结算周期内乙方将对新进员工履行保险责任。增加或减少人员的保险费用结算以批单为准，加减保费具体计算为：</w:t>
      </w:r>
    </w:p>
    <w:p>
      <w:pPr>
        <w:spacing w:line="520" w:lineRule="exact"/>
        <w:ind w:firstLine="420" w:firstLineChars="200"/>
      </w:pPr>
      <w:r>
        <w:rPr>
          <w:rFonts w:hint="eastAsia"/>
        </w:rPr>
        <w:t>增加人员缴费=年保费*（全年天数-保单经过天数）/全年天数</w:t>
      </w:r>
    </w:p>
    <w:p>
      <w:pPr>
        <w:spacing w:line="520" w:lineRule="exact"/>
        <w:ind w:firstLine="420" w:firstLineChars="200"/>
      </w:pPr>
      <w:r>
        <w:rPr>
          <w:rFonts w:hint="eastAsia"/>
        </w:rPr>
        <w:t>减少人员退费=年保费*（全年天数-保单经过天数）/全年天数（已发生过理赔的员工，减保时不退费）</w:t>
      </w:r>
    </w:p>
    <w:p>
      <w:pPr>
        <w:spacing w:line="520" w:lineRule="exact"/>
        <w:ind w:firstLine="420" w:firstLineChars="200"/>
      </w:pPr>
      <w:bookmarkStart w:id="73" w:name="_Toc29182"/>
      <w:r>
        <w:rPr>
          <w:rFonts w:hint="eastAsia"/>
        </w:rPr>
        <w:t>八、服务承诺</w:t>
      </w:r>
      <w:bookmarkEnd w:id="73"/>
    </w:p>
    <w:p>
      <w:pPr>
        <w:spacing w:line="520" w:lineRule="exact"/>
        <w:ind w:firstLine="420" w:firstLineChars="200"/>
      </w:pPr>
      <w:r>
        <w:rPr>
          <w:rFonts w:hint="eastAsia"/>
        </w:rPr>
        <w:t>（1）理赔服务</w:t>
      </w:r>
    </w:p>
    <w:p>
      <w:pPr>
        <w:spacing w:line="520" w:lineRule="exact"/>
        <w:ind w:firstLine="420" w:firstLineChars="200"/>
      </w:pPr>
      <w:r>
        <w:rPr>
          <w:rFonts w:hint="eastAsia"/>
        </w:rPr>
        <w:t>1.1 保险人在收到保险金给付申请书及上述有关证明和资料后，对于非调查案件的补充医疗报销，将在   天内完成报销；对于调查案件的补充医疗报销及其余情形复杂的，在    天内作出核定。</w:t>
      </w:r>
    </w:p>
    <w:p>
      <w:pPr>
        <w:spacing w:line="520" w:lineRule="exact"/>
        <w:ind w:firstLine="420" w:firstLineChars="200"/>
      </w:pPr>
      <w:r>
        <w:rPr>
          <w:rFonts w:hint="eastAsia"/>
        </w:rPr>
        <w:t>1.2 理赔金给付方式</w:t>
      </w:r>
    </w:p>
    <w:p>
      <w:pPr>
        <w:spacing w:line="520" w:lineRule="exact"/>
        <w:ind w:firstLine="420" w:firstLineChars="200"/>
      </w:pPr>
      <w:r>
        <w:rPr>
          <w:rFonts w:hint="eastAsia"/>
        </w:rPr>
        <w:t>保险人在理赔期限内完成理赔后，直接委托银行将赔款划入被保险人本人的银行帐户。</w:t>
      </w:r>
    </w:p>
    <w:p>
      <w:pPr>
        <w:spacing w:line="520" w:lineRule="exact"/>
        <w:ind w:firstLine="420" w:firstLineChars="200"/>
      </w:pPr>
      <w:r>
        <w:rPr>
          <w:rFonts w:hint="eastAsia"/>
        </w:rPr>
        <w:t>1.3 按甲方要求设置 3个服务点，乙方每月派专人到服务点不少于   次，分别是每月  日（遇节假日顺延）上午 9：00-12:00，负责办理甲方的保险业务（3 个服务点同时办理业务）。业务内容包括：</w:t>
      </w:r>
    </w:p>
    <w:p>
      <w:pPr>
        <w:spacing w:line="520" w:lineRule="exact"/>
        <w:ind w:firstLine="420" w:firstLineChars="200"/>
      </w:pPr>
      <w:r>
        <w:rPr>
          <w:rFonts w:hint="eastAsia"/>
        </w:rPr>
        <w:t>①派理赔人员到甲方现场录入团体理赔清单，并预算出应赔付金额。</w:t>
      </w:r>
    </w:p>
    <w:p>
      <w:pPr>
        <w:spacing w:line="520" w:lineRule="exact"/>
        <w:ind w:firstLine="420" w:firstLineChars="200"/>
      </w:pPr>
      <w:r>
        <w:rPr>
          <w:rFonts w:hint="eastAsia"/>
        </w:rPr>
        <w:t>②乙方每季度派专人到甲方公司，做当季度人员变动表的确认签字（变动资料由乙方提供）。</w:t>
      </w:r>
    </w:p>
    <w:p>
      <w:pPr>
        <w:spacing w:line="520" w:lineRule="exact"/>
        <w:ind w:firstLine="420" w:firstLineChars="200"/>
      </w:pPr>
      <w:r>
        <w:rPr>
          <w:rFonts w:hint="eastAsia"/>
        </w:rPr>
        <w:t>③每季度返还赔付清单给甲方相关负责人。</w:t>
      </w:r>
    </w:p>
    <w:p>
      <w:pPr>
        <w:spacing w:line="520" w:lineRule="exact"/>
        <w:ind w:firstLine="420" w:firstLineChars="200"/>
      </w:pPr>
      <w:r>
        <w:rPr>
          <w:rFonts w:hint="eastAsia"/>
        </w:rPr>
        <w:t>1.4 认可的医保定点医院（不限制公立、私立、医院级别）所产生的费用。</w:t>
      </w:r>
    </w:p>
    <w:p>
      <w:pPr>
        <w:spacing w:line="520" w:lineRule="exact"/>
        <w:ind w:firstLine="420" w:firstLineChars="200"/>
      </w:pPr>
      <w:r>
        <w:rPr>
          <w:rFonts w:hint="eastAsia"/>
        </w:rPr>
        <w:t>1.5 认可异地就医，同意人员理赔资料可提交复印件。但复印件需收取原件的第三方机构盖章确认，并提供报销分割单或报销明细。</w:t>
      </w:r>
    </w:p>
    <w:p>
      <w:pPr>
        <w:spacing w:line="520" w:lineRule="exact"/>
        <w:ind w:firstLine="420" w:firstLineChars="200"/>
      </w:pPr>
      <w:r>
        <w:rPr>
          <w:rFonts w:hint="eastAsia"/>
        </w:rPr>
        <w:t>（2）服务团队</w:t>
      </w:r>
    </w:p>
    <w:p>
      <w:pPr>
        <w:spacing w:line="520" w:lineRule="exact"/>
        <w:ind w:firstLine="420" w:firstLineChars="200"/>
      </w:pPr>
      <w:r>
        <w:rPr>
          <w:rFonts w:hint="eastAsia"/>
        </w:rPr>
        <w:t>成立专属服务团队，配置专属服务人员，其中熟悉补充医疗保险业务及国家基本医疗保险制度项目主管至少1名，其他票据收取业务人员至少3名。名单如下：</w:t>
      </w:r>
    </w:p>
    <w:p>
      <w:pPr>
        <w:spacing w:line="520" w:lineRule="exact"/>
        <w:ind w:firstLine="420" w:firstLineChars="200"/>
      </w:pPr>
      <w:r>
        <w:rPr>
          <w:rFonts w:hint="eastAsia"/>
        </w:rPr>
        <w:t>项目主管：XXX（职务）</w:t>
      </w:r>
    </w:p>
    <w:p>
      <w:pPr>
        <w:spacing w:line="520" w:lineRule="exact"/>
        <w:ind w:firstLine="420" w:firstLineChars="200"/>
      </w:pPr>
      <w:r>
        <w:rPr>
          <w:rFonts w:hint="eastAsia"/>
        </w:rPr>
        <w:t>业务人员：XXX(职务)……</w:t>
      </w:r>
    </w:p>
    <w:p>
      <w:pPr>
        <w:spacing w:line="520" w:lineRule="exact"/>
        <w:ind w:firstLine="420" w:firstLineChars="200"/>
      </w:pPr>
      <w:r>
        <w:rPr>
          <w:rFonts w:hint="eastAsia"/>
        </w:rPr>
        <w:t>服务期间不得随意更换服务人员，确需更换的，乙方应提前 3个工作日告知甲方并提交更换人员情况，甲方审核同意后方可更换。</w:t>
      </w:r>
    </w:p>
    <w:p>
      <w:pPr>
        <w:spacing w:line="520" w:lineRule="exact"/>
        <w:ind w:firstLine="420" w:firstLineChars="200"/>
      </w:pPr>
      <w:r>
        <w:rPr>
          <w:rFonts w:hint="eastAsia"/>
        </w:rPr>
        <w:t>（3）增值服务（如有，即填写）</w:t>
      </w:r>
    </w:p>
    <w:p>
      <w:pPr>
        <w:spacing w:line="520" w:lineRule="exact"/>
        <w:ind w:firstLine="420" w:firstLineChars="200"/>
      </w:pPr>
      <w:bookmarkStart w:id="74" w:name="_Toc20056"/>
      <w:r>
        <w:rPr>
          <w:rFonts w:hint="eastAsia"/>
        </w:rPr>
        <w:t>九、协议内容变更</w:t>
      </w:r>
      <w:bookmarkEnd w:id="74"/>
    </w:p>
    <w:p>
      <w:pPr>
        <w:spacing w:line="520" w:lineRule="exact"/>
        <w:ind w:firstLine="420" w:firstLineChars="200"/>
      </w:pPr>
      <w:r>
        <w:rPr>
          <w:rFonts w:hint="eastAsia"/>
        </w:rPr>
        <w:t>在协议有效期内，经投保人和保险人协商，可以变更本协议的有关内容，由保险人在原保险单或其他保险凭证上批注或者附贴批单，或者由投保人、保险人双方订立变更的书面协议。</w:t>
      </w:r>
    </w:p>
    <w:p>
      <w:pPr>
        <w:spacing w:line="520" w:lineRule="exact"/>
        <w:ind w:firstLine="420" w:firstLineChars="200"/>
      </w:pPr>
      <w:bookmarkStart w:id="75" w:name="_Toc1107"/>
      <w:r>
        <w:rPr>
          <w:rFonts w:hint="eastAsia"/>
        </w:rPr>
        <w:t>十、争议解决</w:t>
      </w:r>
      <w:bookmarkEnd w:id="75"/>
    </w:p>
    <w:p>
      <w:pPr>
        <w:spacing w:line="520" w:lineRule="exact"/>
        <w:ind w:firstLine="420" w:firstLineChars="200"/>
      </w:pPr>
      <w:r>
        <w:rPr>
          <w:rFonts w:hint="eastAsia"/>
        </w:rPr>
        <w:t>1.凡因执行本协议及保险协议产生的一切争议和纠纷，双方均应友好协商解决。</w:t>
      </w:r>
    </w:p>
    <w:p>
      <w:pPr>
        <w:spacing w:line="520" w:lineRule="exact"/>
        <w:ind w:firstLine="420" w:firstLineChars="200"/>
      </w:pPr>
      <w:r>
        <w:rPr>
          <w:rFonts w:hint="eastAsia"/>
        </w:rPr>
        <w:t>2.若协商不成，任何一方应向甲方住所地有管辖权的法院提起诉讼，通过诉讼方式解决争议的内容。</w:t>
      </w:r>
    </w:p>
    <w:p>
      <w:pPr>
        <w:spacing w:line="520" w:lineRule="exact"/>
        <w:ind w:firstLine="420" w:firstLineChars="200"/>
      </w:pPr>
      <w:bookmarkStart w:id="76" w:name="_Toc13881"/>
      <w:r>
        <w:rPr>
          <w:rFonts w:hint="eastAsia"/>
        </w:rPr>
        <w:t>十一、违约责任</w:t>
      </w:r>
      <w:bookmarkEnd w:id="76"/>
    </w:p>
    <w:p>
      <w:pPr>
        <w:spacing w:line="520" w:lineRule="exact"/>
        <w:ind w:firstLine="420" w:firstLineChars="200"/>
      </w:pPr>
      <w:r>
        <w:rPr>
          <w:rFonts w:hint="eastAsia"/>
        </w:rPr>
        <w:t>1.甲方违约</w:t>
      </w:r>
    </w:p>
    <w:p>
      <w:pPr>
        <w:spacing w:line="520" w:lineRule="exact"/>
        <w:ind w:firstLine="420" w:firstLineChars="200"/>
      </w:pPr>
      <w:r>
        <w:rPr>
          <w:rFonts w:hint="eastAsia"/>
        </w:rPr>
        <w:t>甲方非正当理由不按协议规定支付应付款项，视甲方违约，乙方可向甲方要求支付未付部份5%的违约金，同时补齐未付款项。</w:t>
      </w:r>
    </w:p>
    <w:p>
      <w:pPr>
        <w:spacing w:line="520" w:lineRule="exact"/>
        <w:ind w:firstLine="420" w:firstLineChars="200"/>
      </w:pPr>
      <w:r>
        <w:rPr>
          <w:rFonts w:hint="eastAsia"/>
        </w:rPr>
        <w:t>2.乙方违约</w:t>
      </w:r>
    </w:p>
    <w:p>
      <w:pPr>
        <w:spacing w:line="520" w:lineRule="exact"/>
        <w:ind w:firstLine="420" w:firstLineChars="200"/>
      </w:pPr>
      <w:r>
        <w:rPr>
          <w:rFonts w:hint="eastAsia"/>
        </w:rPr>
        <w:t>(1) 因乙方未履行本协议规定的义务给甲方造成经济损失，履约保证金不予退还，若乙方因未履行本协议规定给甲方造成的经济损失大于履约保证金，超出履约保证部分由乙方全额支付。</w:t>
      </w:r>
    </w:p>
    <w:p>
      <w:pPr>
        <w:spacing w:line="520" w:lineRule="exact"/>
        <w:ind w:firstLine="420" w:firstLineChars="200"/>
      </w:pPr>
      <w:r>
        <w:rPr>
          <w:rFonts w:hint="eastAsia"/>
        </w:rPr>
        <w:t>超出赔付时间</w:t>
      </w:r>
    </w:p>
    <w:p>
      <w:pPr>
        <w:spacing w:line="520" w:lineRule="exact"/>
        <w:ind w:firstLine="420" w:firstLineChars="200"/>
      </w:pPr>
      <w:r>
        <w:rPr>
          <w:rFonts w:hint="eastAsia"/>
        </w:rPr>
        <w:t>指乙方从收到理赔资料之日起，超过两个月未支付赔款，且此过程中未就延迟支付原因未与甲方进行沟通的情况。</w:t>
      </w:r>
    </w:p>
    <w:p>
      <w:pPr>
        <w:spacing w:line="520" w:lineRule="exact"/>
        <w:ind w:firstLine="420" w:firstLineChars="200"/>
      </w:pPr>
      <w:r>
        <w:rPr>
          <w:rFonts w:hint="eastAsia"/>
        </w:rPr>
        <w:t>不足赔付金额</w:t>
      </w:r>
    </w:p>
    <w:p>
      <w:pPr>
        <w:spacing w:line="520" w:lineRule="exact"/>
        <w:ind w:firstLine="420" w:firstLineChars="200"/>
      </w:pPr>
      <w:r>
        <w:rPr>
          <w:rFonts w:hint="eastAsia"/>
        </w:rPr>
        <w:t>指乙方未按保险协议所述赔付方式进行理算，导致理赔金额不足，并自发现之日起 1个月内未进行补充赔付的情况。</w:t>
      </w:r>
    </w:p>
    <w:p>
      <w:pPr>
        <w:spacing w:line="520" w:lineRule="exact"/>
        <w:ind w:firstLine="420" w:firstLineChars="200"/>
      </w:pPr>
      <w:r>
        <w:rPr>
          <w:rFonts w:hint="eastAsia"/>
        </w:rPr>
        <w:t>(2) 因乙方原因未按</w:t>
      </w:r>
      <w:r>
        <w:rPr>
          <w:rFonts w:hint="eastAsia"/>
          <w:lang w:val="en-US" w:eastAsia="zh-CN"/>
        </w:rPr>
        <w:t>比选申请</w:t>
      </w:r>
      <w:r>
        <w:rPr>
          <w:rFonts w:hint="eastAsia"/>
        </w:rPr>
        <w:t>文件承诺的内容履行义务，每少一项，应向甲方支付合同款项1%的违约金。若由此造成甲方损失，甲方有权要求乙方额外予以赔偿。</w:t>
      </w:r>
    </w:p>
    <w:p>
      <w:pPr>
        <w:spacing w:line="520" w:lineRule="exact"/>
        <w:ind w:firstLine="420" w:firstLineChars="200"/>
      </w:pPr>
      <w:bookmarkStart w:id="77" w:name="_Toc17973"/>
      <w:r>
        <w:rPr>
          <w:rFonts w:hint="eastAsia"/>
        </w:rPr>
        <w:t>十二、协议效力</w:t>
      </w:r>
      <w:bookmarkEnd w:id="77"/>
    </w:p>
    <w:p>
      <w:pPr>
        <w:spacing w:line="520" w:lineRule="exact"/>
        <w:ind w:firstLine="420" w:firstLineChars="200"/>
      </w:pPr>
      <w:r>
        <w:rPr>
          <w:rFonts w:hint="eastAsia"/>
        </w:rPr>
        <w:t>1.本协议自签订之日起生效，直到保险服务期满为止。</w:t>
      </w:r>
    </w:p>
    <w:p>
      <w:pPr>
        <w:spacing w:line="520" w:lineRule="exact"/>
        <w:ind w:firstLine="420" w:firstLineChars="200"/>
      </w:pPr>
      <w:r>
        <w:rPr>
          <w:rFonts w:hint="eastAsia"/>
        </w:rPr>
        <w:t>2.本协议经双方授权代表签字、加盖公章后成立生效。一式肆份，甲乙双方各持贰份，每份协议均具有同等法律效力。</w:t>
      </w:r>
    </w:p>
    <w:p>
      <w:pPr>
        <w:spacing w:line="520" w:lineRule="exact"/>
        <w:ind w:firstLine="420" w:firstLineChars="200"/>
      </w:pPr>
      <w:bookmarkStart w:id="78" w:name="_Toc7222"/>
      <w:r>
        <w:rPr>
          <w:rFonts w:hint="eastAsia"/>
        </w:rPr>
        <w:t>十三、其他事项</w:t>
      </w:r>
      <w:bookmarkEnd w:id="78"/>
    </w:p>
    <w:p>
      <w:pPr>
        <w:spacing w:line="520" w:lineRule="exact"/>
        <w:ind w:firstLine="420" w:firstLineChars="200"/>
      </w:pPr>
      <w:bookmarkStart w:id="79" w:name="_Toc23298"/>
      <w:r>
        <w:rPr>
          <w:rFonts w:hint="eastAsia"/>
        </w:rPr>
        <w:t>1.甲方投保员工就医后的索赔必须符合本协议的约定，遵循诚信道德和职业行为。不真实的保险事故（如：冒名就医、小病大治、虚构保险事故等），且乙方已向被保险人支付了保险金的，甲方应协助乙方追回虚报的理赔金。</w:t>
      </w:r>
      <w:bookmarkEnd w:id="79"/>
    </w:p>
    <w:p>
      <w:pPr>
        <w:spacing w:line="520" w:lineRule="exact"/>
        <w:ind w:firstLine="420" w:firstLineChars="200"/>
      </w:pPr>
      <w:bookmarkStart w:id="80" w:name="_Toc6450"/>
      <w:r>
        <w:rPr>
          <w:rFonts w:hint="eastAsia"/>
        </w:rPr>
        <w:t>2.双方对涉及对方的信息均具有保密的责任和义务，投保人向保险人提供的被保险人个人信息，未经投保人许可，保险人不得对外披露或用作他途，否则将承担由此引起的法律后果。</w:t>
      </w:r>
      <w:bookmarkEnd w:id="80"/>
    </w:p>
    <w:p>
      <w:pPr>
        <w:spacing w:line="520" w:lineRule="exact"/>
        <w:ind w:firstLine="420" w:firstLineChars="200"/>
      </w:pPr>
      <w:r>
        <w:rPr>
          <w:rFonts w:hint="eastAsia"/>
        </w:rPr>
        <w:t>3.本协议有效期间，甲、乙双方可根据实际情况经常沟通交流信息，共同解决面临的问题。双方可通过签订补充协议形式，修改本协议内容。补充协议与本协议具有同等法律效力，但补充协议与本协议有不同约定的，以补充协议为准。</w:t>
      </w:r>
    </w:p>
    <w:p>
      <w:pPr>
        <w:spacing w:line="360" w:lineRule="auto"/>
        <w:rPr>
          <w:rFonts w:ascii="黑体" w:hAnsi="宋体" w:eastAsia="黑体"/>
          <w:sz w:val="52"/>
          <w:szCs w:val="52"/>
        </w:rPr>
      </w:pPr>
    </w:p>
    <w:p>
      <w:pPr>
        <w:pStyle w:val="13"/>
        <w:ind w:firstLine="1040"/>
        <w:rPr>
          <w:rFonts w:ascii="黑体" w:eastAsia="黑体"/>
          <w:sz w:val="52"/>
          <w:szCs w:val="52"/>
        </w:rPr>
      </w:pPr>
    </w:p>
    <w:p>
      <w:pPr>
        <w:spacing w:line="410" w:lineRule="auto"/>
        <w:ind w:left="1596" w:right="834" w:hanging="10"/>
        <w:jc w:val="center"/>
        <w:rPr>
          <w:sz w:val="28"/>
        </w:rPr>
      </w:pPr>
    </w:p>
    <w:p>
      <w:pPr>
        <w:spacing w:line="410" w:lineRule="auto"/>
        <w:ind w:left="1596" w:right="834" w:hanging="10"/>
        <w:jc w:val="center"/>
        <w:rPr>
          <w:sz w:val="28"/>
        </w:rPr>
      </w:pPr>
    </w:p>
    <w:p>
      <w:pPr>
        <w:spacing w:line="410" w:lineRule="auto"/>
        <w:ind w:left="1596" w:right="834" w:hanging="10"/>
        <w:jc w:val="center"/>
      </w:pPr>
      <w:r>
        <w:rPr>
          <w:sz w:val="28"/>
        </w:rPr>
        <w:t xml:space="preserve">团体健康保障委托管理 </w:t>
      </w:r>
    </w:p>
    <w:p>
      <w:pPr>
        <w:spacing w:after="105"/>
        <w:ind w:left="1596" w:right="977" w:hanging="10"/>
        <w:jc w:val="center"/>
      </w:pPr>
      <w:r>
        <w:rPr>
          <w:sz w:val="28"/>
        </w:rPr>
        <w:t>合同文本</w:t>
      </w:r>
      <w:r>
        <w:rPr>
          <w:rFonts w:ascii="黑体" w:hAnsi="黑体" w:eastAsia="黑体" w:cs="黑体"/>
          <w:sz w:val="28"/>
        </w:rPr>
        <w:t xml:space="preserve">  </w:t>
      </w:r>
    </w:p>
    <w:p>
      <w:pPr>
        <w:ind w:left="853"/>
        <w:jc w:val="center"/>
      </w:pPr>
      <w:r>
        <w:rPr>
          <w:rFonts w:ascii="黑体" w:hAnsi="黑体" w:eastAsia="黑体" w:cs="黑体"/>
          <w:sz w:val="32"/>
        </w:rPr>
        <w:t xml:space="preserve"> </w:t>
      </w:r>
    </w:p>
    <w:p>
      <w:pPr>
        <w:spacing w:after="23"/>
        <w:ind w:left="638"/>
      </w:pPr>
      <w:r>
        <w:rPr>
          <w:rFonts w:ascii="仿宋" w:hAnsi="仿宋" w:eastAsia="仿宋" w:cs="仿宋"/>
          <w:sz w:val="24"/>
        </w:rPr>
        <w:t xml:space="preserve"> </w:t>
      </w:r>
    </w:p>
    <w:p>
      <w:pPr>
        <w:spacing w:after="23"/>
        <w:ind w:left="638"/>
      </w:pPr>
      <w:r>
        <w:rPr>
          <w:rFonts w:ascii="仿宋" w:hAnsi="仿宋" w:eastAsia="仿宋" w:cs="仿宋"/>
          <w:sz w:val="24"/>
        </w:rPr>
        <w:t xml:space="preserve"> </w:t>
      </w:r>
    </w:p>
    <w:p>
      <w:pPr>
        <w:spacing w:after="63"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甲方（委托人）：</w:t>
      </w:r>
    </w:p>
    <w:p>
      <w:pPr>
        <w:spacing w:after="49" w:line="520" w:lineRule="exact"/>
        <w:ind w:left="1001" w:leftChars="275" w:right="5752" w:hanging="424" w:hangingChars="202"/>
        <w:rPr>
          <w:rFonts w:asciiTheme="minorEastAsia" w:hAnsiTheme="minorEastAsia" w:eastAsiaTheme="minorEastAsia" w:cstheme="minorEastAsia"/>
        </w:rPr>
      </w:pPr>
      <w:r>
        <w:rPr>
          <w:rFonts w:hint="eastAsia" w:asciiTheme="minorEastAsia" w:hAnsiTheme="minorEastAsia" w:eastAsiaTheme="minorEastAsia" w:cstheme="minorEastAsia"/>
        </w:rPr>
        <w:t>法定代表人（或负责人）：</w:t>
      </w:r>
    </w:p>
    <w:p>
      <w:pPr>
        <w:spacing w:after="63"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地址：</w:t>
      </w:r>
    </w:p>
    <w:p>
      <w:pPr>
        <w:spacing w:after="49" w:line="520" w:lineRule="exact"/>
        <w:ind w:left="586" w:right="5752"/>
        <w:rPr>
          <w:rFonts w:asciiTheme="minorEastAsia" w:hAnsiTheme="minorEastAsia" w:eastAsiaTheme="minorEastAsia" w:cstheme="minorEastAsia"/>
        </w:rPr>
      </w:pPr>
      <w:r>
        <w:rPr>
          <w:rFonts w:hint="eastAsia" w:asciiTheme="minorEastAsia" w:hAnsiTheme="minorEastAsia" w:eastAsiaTheme="minorEastAsia" w:cstheme="minorEastAsia"/>
        </w:rPr>
        <w:t>联系人：</w:t>
      </w:r>
    </w:p>
    <w:p>
      <w:pPr>
        <w:spacing w:after="64"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联系方式：</w:t>
      </w:r>
    </w:p>
    <w:p>
      <w:pPr>
        <w:spacing w:after="7" w:line="520" w:lineRule="exact"/>
        <w:ind w:left="576" w:right="806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57" w:line="520" w:lineRule="exact"/>
        <w:ind w:left="586" w:right="2182"/>
        <w:rPr>
          <w:rFonts w:asciiTheme="minorEastAsia" w:hAnsiTheme="minorEastAsia" w:eastAsiaTheme="minorEastAsia" w:cstheme="minorEastAsia"/>
        </w:rPr>
      </w:pPr>
      <w:r>
        <w:rPr>
          <w:rFonts w:hint="eastAsia" w:asciiTheme="minorEastAsia" w:hAnsiTheme="minorEastAsia" w:eastAsiaTheme="minorEastAsia" w:cstheme="minorEastAsia"/>
        </w:rPr>
        <w:t xml:space="preserve">乙方（受托人）：       </w:t>
      </w:r>
    </w:p>
    <w:p>
      <w:pPr>
        <w:spacing w:after="57" w:line="520" w:lineRule="exact"/>
        <w:ind w:left="586" w:right="2182"/>
        <w:rPr>
          <w:rFonts w:asciiTheme="minorEastAsia" w:hAnsiTheme="minorEastAsia" w:eastAsiaTheme="minorEastAsia" w:cstheme="minorEastAsia"/>
        </w:rPr>
      </w:pPr>
      <w:r>
        <w:rPr>
          <w:rFonts w:hint="eastAsia" w:asciiTheme="minorEastAsia" w:hAnsiTheme="minorEastAsia" w:eastAsiaTheme="minorEastAsia" w:cstheme="minorEastAsia"/>
        </w:rPr>
        <w:t>负责人：</w:t>
      </w:r>
    </w:p>
    <w:p>
      <w:pPr>
        <w:spacing w:after="57" w:line="520" w:lineRule="exact"/>
        <w:ind w:left="586" w:right="2182"/>
        <w:rPr>
          <w:rFonts w:asciiTheme="minorEastAsia" w:hAnsiTheme="minorEastAsia" w:eastAsiaTheme="minorEastAsia" w:cstheme="minorEastAsia"/>
        </w:rPr>
      </w:pPr>
      <w:r>
        <w:rPr>
          <w:rFonts w:hint="eastAsia" w:asciiTheme="minorEastAsia" w:hAnsiTheme="minorEastAsia" w:eastAsiaTheme="minorEastAsia" w:cstheme="minorEastAsia"/>
        </w:rPr>
        <w:t xml:space="preserve">地址：  </w:t>
      </w:r>
    </w:p>
    <w:p>
      <w:pPr>
        <w:spacing w:after="57" w:line="520" w:lineRule="exact"/>
        <w:ind w:left="586" w:right="2182"/>
        <w:rPr>
          <w:rFonts w:asciiTheme="minorEastAsia" w:hAnsiTheme="minorEastAsia" w:eastAsiaTheme="minorEastAsia" w:cstheme="minorEastAsia"/>
        </w:rPr>
      </w:pPr>
      <w:r>
        <w:rPr>
          <w:rFonts w:hint="eastAsia" w:asciiTheme="minorEastAsia" w:hAnsiTheme="minorEastAsia" w:eastAsiaTheme="minorEastAsia" w:cstheme="minorEastAsia"/>
        </w:rPr>
        <w:t>联系人：</w:t>
      </w:r>
    </w:p>
    <w:p>
      <w:pPr>
        <w:spacing w:after="57" w:line="520" w:lineRule="exact"/>
        <w:ind w:left="586" w:right="2182"/>
        <w:rPr>
          <w:rFonts w:asciiTheme="minorEastAsia" w:hAnsiTheme="minorEastAsia" w:eastAsiaTheme="minorEastAsia" w:cstheme="minorEastAsia"/>
        </w:rPr>
      </w:pPr>
      <w:r>
        <w:rPr>
          <w:rFonts w:hint="eastAsia" w:asciiTheme="minorEastAsia" w:hAnsiTheme="minorEastAsia" w:eastAsiaTheme="minorEastAsia" w:cstheme="minorEastAsia"/>
        </w:rPr>
        <w:t>联系方式：</w:t>
      </w:r>
    </w:p>
    <w:p>
      <w:pPr>
        <w:spacing w:after="57" w:line="520" w:lineRule="exact"/>
        <w:ind w:left="586" w:right="2182"/>
        <w:rPr>
          <w:rFonts w:asciiTheme="minorEastAsia" w:hAnsiTheme="minorEastAsia" w:eastAsiaTheme="minorEastAsia" w:cstheme="minorEastAsia"/>
        </w:rPr>
      </w:pPr>
    </w:p>
    <w:p>
      <w:pPr>
        <w:widowControl/>
        <w:spacing w:after="57" w:line="520" w:lineRule="exact"/>
        <w:ind w:left="210" w:leftChars="100" w:firstLine="413" w:firstLineChars="197"/>
        <w:rPr>
          <w:rFonts w:asciiTheme="minorEastAsia" w:hAnsiTheme="minorEastAsia" w:eastAsiaTheme="minorEastAsia" w:cstheme="minorEastAsia"/>
        </w:rPr>
      </w:pPr>
      <w:r>
        <w:rPr>
          <w:rFonts w:hint="eastAsia" w:asciiTheme="minorEastAsia" w:hAnsiTheme="minorEastAsia" w:eastAsiaTheme="minorEastAsia" w:cstheme="minorEastAsia"/>
        </w:rPr>
        <w:t xml:space="preserve">为保证甲乙双方的合法权益，规范双方的权利和义务，依据相关法律法规的规定，双方在平等、自愿、协商一致的基础上，就甲方的健康保障业务委托给乙方、由乙方提供相应的经办管理服务等具体事宜，订立本合同。 </w:t>
      </w:r>
    </w:p>
    <w:p>
      <w:pPr>
        <w:spacing w:after="64" w:line="520" w:lineRule="exact"/>
        <w:ind w:left="645"/>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第一章  委托管理合同一般条款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第一条  合同构成 </w:t>
      </w:r>
    </w:p>
    <w:p>
      <w:pPr>
        <w:spacing w:after="1" w:line="520" w:lineRule="exact"/>
        <w:ind w:left="173"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本委托管理合同（以下简称“本合同”）由合同文本及所附团体健康保障委托管理服务方案（以下简称“委托管理服务方案”）、团体成员人名清单、委托管理凭证、与本合同有关的变更申请书、声明、批注、附贴批单及其他加盖乙方公章的书面协议构成。 </w:t>
      </w:r>
    </w:p>
    <w:p>
      <w:pPr>
        <w:spacing w:after="4"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除上述文件之外的其他任何书面或口头的协议、承诺均不构成本合同组成部分，对其效力乙方不予认可。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第二条  合同成立与生效</w:t>
      </w:r>
      <w:r>
        <w:rPr>
          <w:rFonts w:hint="eastAsia" w:asciiTheme="minorEastAsia" w:hAnsiTheme="minorEastAsia" w:eastAsiaTheme="minorEastAsia" w:cstheme="minorEastAsia"/>
          <w:b/>
        </w:rPr>
        <w:t xml:space="preserve">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甲方提出委托申请、乙方同意接受委托，本合同成立。 </w:t>
      </w:r>
    </w:p>
    <w:p>
      <w:pPr>
        <w:spacing w:after="2"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除另有约定外，自本合同成立、乙方收取委托管理费用并加盖甲乙双方公章之日起本合同生效。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第三条  合同内容变更 </w:t>
      </w:r>
    </w:p>
    <w:p>
      <w:pPr>
        <w:spacing w:after="2"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甲乙双方可以协商变更本合同的有关内容。变更本合同的，由乙方在合同上批注或附贴批单或由甲乙双方订立变更的书面协议。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第四条  合同解除 </w:t>
      </w:r>
    </w:p>
    <w:p>
      <w:pPr>
        <w:spacing w:after="2"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本合同生效后，甲方可以要求解除本合同。甲方要求解除本合同时，应提供本合同、填写合同解除申请书并加盖公章。 </w:t>
      </w:r>
    </w:p>
    <w:p>
      <w:pPr>
        <w:spacing w:after="2"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本合同中的账户价值，系指该账户中的委托资金和</w:t>
      </w:r>
      <w:r>
        <w:rPr>
          <w:rFonts w:hint="eastAsia" w:asciiTheme="minorEastAsia" w:hAnsiTheme="minorEastAsia" w:eastAsiaTheme="minorEastAsia" w:cstheme="minorEastAsia"/>
          <w:u w:val="single"/>
        </w:rPr>
        <w:t xml:space="preserve">(比选人申请人参与比选时填报的利率)          </w:t>
      </w:r>
      <w:r>
        <w:rPr>
          <w:rFonts w:hint="eastAsia" w:asciiTheme="minorEastAsia" w:hAnsiTheme="minorEastAsia" w:eastAsiaTheme="minorEastAsia" w:cstheme="minorEastAsia"/>
        </w:rPr>
        <w:t xml:space="preserve">利息收入之和。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对于合同解除的，乙方不向甲方退还已收取的委托管理费用。 </w:t>
      </w:r>
    </w:p>
    <w:p>
      <w:pPr>
        <w:spacing w:after="2" w:line="520" w:lineRule="exact"/>
        <w:ind w:left="586" w:right="2588"/>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第五条  合同终止以下任何一种情况发生时，本合同终止：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1.在本合同有效期内解除本合同的；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2.本合同委托管理期限届满且不再续签本合同的；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3.因法律规定或本合同约定其他情况而终止的。     </w:t>
      </w:r>
    </w:p>
    <w:p>
      <w:pPr>
        <w:spacing w:line="520" w:lineRule="exact"/>
        <w:ind w:left="590"/>
        <w:jc w:val="center"/>
        <w:rPr>
          <w:rFonts w:asciiTheme="minorEastAsia" w:hAnsiTheme="minorEastAsia" w:eastAsiaTheme="minorEastAsia" w:cstheme="minorEastAsia"/>
        </w:rPr>
      </w:pPr>
      <w:r>
        <w:rPr>
          <w:rFonts w:hint="eastAsia" w:asciiTheme="minorEastAsia" w:hAnsiTheme="minorEastAsia" w:eastAsiaTheme="minorEastAsia" w:cstheme="minorEastAsia"/>
          <w:b/>
        </w:rPr>
        <w:t xml:space="preserve"> </w:t>
      </w:r>
    </w:p>
    <w:p>
      <w:pPr>
        <w:spacing w:after="66" w:line="520" w:lineRule="exact"/>
        <w:ind w:left="540" w:right="471"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第二章</w:t>
      </w: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rPr>
        <w:t>委托管理期限</w:t>
      </w:r>
      <w:r>
        <w:rPr>
          <w:rFonts w:hint="eastAsia" w:asciiTheme="minorEastAsia" w:hAnsiTheme="minorEastAsia" w:eastAsiaTheme="minorEastAsia" w:cstheme="minorEastAsia"/>
          <w:b/>
        </w:rPr>
        <w:t xml:space="preserve">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第六条  委托管理期限 </w:t>
      </w:r>
    </w:p>
    <w:p>
      <w:pPr>
        <w:spacing w:line="520" w:lineRule="exact"/>
        <w:ind w:left="250" w:firstLine="427"/>
        <w:rPr>
          <w:rFonts w:asciiTheme="minorEastAsia" w:hAnsiTheme="minorEastAsia" w:eastAsiaTheme="minorEastAsia" w:cstheme="minorEastAsia"/>
        </w:rPr>
      </w:pPr>
      <w:r>
        <w:rPr>
          <w:rFonts w:hint="eastAsia" w:asciiTheme="minorEastAsia" w:hAnsiTheme="minorEastAsia" w:eastAsiaTheme="minorEastAsia" w:cstheme="minorEastAsia"/>
        </w:rPr>
        <w:t>经甲乙双方协商，本合同委托管理期限为</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年，自</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日的零时开始至</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 xml:space="preserve">日的二十四时止。甲方按约定向乙方支付委托管理费用后，乙方在委托管理期限内按本合同的约定提供相应的委托管理服务。 </w:t>
      </w:r>
    </w:p>
    <w:p>
      <w:pPr>
        <w:spacing w:after="64" w:line="520" w:lineRule="exact"/>
        <w:ind w:left="65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71"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第三章 委托管理内容及委托资金支付管理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第七条  委托管理内容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甲方可从下列项目中选择本合同委托管理内容，甲方选择的具体内容将在委托管理服务方案中列明： </w:t>
      </w:r>
    </w:p>
    <w:p>
      <w:pPr>
        <w:spacing w:after="1"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1.健康保障方案设计；2.健康保障咨询建议；3.健康管理；4.医疗服务调查；5.医疗费用审核和支付；6.疾病审核和费用支付；7.失能收入损失审核和费用支付；8.护理审核和费用支付；9.管理报告服务。 </w:t>
      </w:r>
    </w:p>
    <w:p>
      <w:pPr>
        <w:spacing w:after="2"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第八条  委托资金支付项目甲方可从下列健康保障项目中选择本合同委托资金支付项目：  </w:t>
      </w:r>
    </w:p>
    <w:p>
      <w:pPr>
        <w:pStyle w:val="2"/>
        <w:spacing w:line="520" w:lineRule="exact"/>
        <w:ind w:firstLine="630" w:firstLineChars="300"/>
        <w:rPr>
          <w:rFonts w:asciiTheme="minorEastAsia" w:hAnsiTheme="minorEastAsia" w:eastAsiaTheme="minorEastAsia" w:cstheme="minorEastAsia"/>
          <w:sz w:val="21"/>
          <w:szCs w:val="21"/>
        </w:rPr>
      </w:pPr>
      <w:r>
        <w:rPr>
          <w:rFonts w:hint="eastAsia"/>
          <w:sz w:val="21"/>
          <w:szCs w:val="21"/>
          <w:u w:val="single"/>
        </w:rPr>
        <w:t xml:space="preserve">                     </w:t>
      </w:r>
      <w:r>
        <w:rPr>
          <w:rFonts w:hint="eastAsia"/>
          <w:sz w:val="21"/>
          <w:szCs w:val="21"/>
        </w:rPr>
        <w:t>（合同签订时双方共同协商拟定）</w:t>
      </w:r>
      <w:r>
        <w:rPr>
          <w:rFonts w:hint="eastAsia" w:asciiTheme="minorEastAsia" w:hAnsiTheme="minorEastAsia" w:eastAsiaTheme="minorEastAsia" w:cstheme="minorEastAsia"/>
          <w:sz w:val="21"/>
          <w:szCs w:val="21"/>
        </w:rPr>
        <w:t xml:space="preserve">。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第九条  委托资金支付标准 </w:t>
      </w:r>
    </w:p>
    <w:p>
      <w:pPr>
        <w:spacing w:after="3"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甲方可与乙方约定其选择的各委托资金支付项目的支付标准，并在委托管理服务方案中列明，以作为乙方提供委托管理服务的依据。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第十条  委托资金支付管理服务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1.团体成员提出委托资金支付申请时，需提供的证明和资料将在委托管理服务方案中列明。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2.乙方根据双方约定的委托资金支付项目和支付标准对团体成员提出的委托资金支付申请进行审核、核算。  </w:t>
      </w:r>
    </w:p>
    <w:p>
      <w:pPr>
        <w:spacing w:after="2"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3.对于属于委托资金支付范围的支付申请，乙方从约定的单独账户中向团体成员进行支付，公共账户或个人账户价值等额减少。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4.乙方基于本合同支付的限额为委托资金和利息收入之和。 </w:t>
      </w:r>
    </w:p>
    <w:p>
      <w:pPr>
        <w:spacing w:after="64" w:line="520" w:lineRule="exact"/>
        <w:ind w:left="65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70"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第四章  委托资金管理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第十一条  委托资金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委托资金是由甲方建立、委托乙方管理并向团体成员提供健康保障项目支付的专项资金。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第十二条  单独账户 </w:t>
      </w:r>
    </w:p>
    <w:p>
      <w:pPr>
        <w:spacing w:after="2"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1.对于甲方将委托资金划归乙方管理的，甲方在委托管理期限内可以定期或不定期、定额或不定额地增加委托资金，乙方将委托资金在扣除约定的委托管理费用后划转入设立的单独账户，专款专用。 </w:t>
      </w:r>
    </w:p>
    <w:p>
      <w:pPr>
        <w:spacing w:after="2"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甲方从下列方式中选择第</w:t>
      </w:r>
      <w:r>
        <w:rPr>
          <w:rFonts w:hint="eastAsia" w:asciiTheme="minorEastAsia" w:hAnsiTheme="minorEastAsia" w:eastAsiaTheme="minorEastAsia" w:cstheme="minorEastAsia"/>
          <w:u w:val="single" w:color="000000"/>
        </w:rPr>
        <w:t xml:space="preserve">     （1）    </w:t>
      </w:r>
      <w:r>
        <w:rPr>
          <w:rFonts w:hint="eastAsia" w:asciiTheme="minorEastAsia" w:hAnsiTheme="minorEastAsia" w:eastAsiaTheme="minorEastAsia" w:cstheme="minorEastAsia"/>
        </w:rPr>
        <w:t xml:space="preserve">种，由乙方为甲方或其团体成员设立单独账户，以记录委托资金的支付、结息、划拨等信息： </w:t>
      </w:r>
    </w:p>
    <w:p>
      <w:pPr>
        <w:numPr>
          <w:ilvl w:val="0"/>
          <w:numId w:val="5"/>
        </w:numPr>
        <w:spacing w:line="520" w:lineRule="exact"/>
        <w:ind w:left="1156" w:hanging="526"/>
        <w:rPr>
          <w:rFonts w:asciiTheme="minorEastAsia" w:hAnsiTheme="minorEastAsia" w:eastAsiaTheme="minorEastAsia" w:cstheme="minorEastAsia"/>
        </w:rPr>
      </w:pPr>
      <w:r>
        <w:rPr>
          <w:rFonts w:hint="eastAsia" w:asciiTheme="minorEastAsia" w:hAnsiTheme="minorEastAsia" w:eastAsiaTheme="minorEastAsia" w:cstheme="minorEastAsia"/>
        </w:rPr>
        <w:t xml:space="preserve">只设立公共账户； </w:t>
      </w:r>
    </w:p>
    <w:p>
      <w:pPr>
        <w:numPr>
          <w:ilvl w:val="0"/>
          <w:numId w:val="5"/>
        </w:numPr>
        <w:spacing w:line="520" w:lineRule="exact"/>
        <w:ind w:left="1156" w:hanging="526"/>
        <w:rPr>
          <w:rFonts w:asciiTheme="minorEastAsia" w:hAnsiTheme="minorEastAsia" w:eastAsiaTheme="minorEastAsia" w:cstheme="minorEastAsia"/>
        </w:rPr>
      </w:pPr>
      <w:r>
        <w:rPr>
          <w:rFonts w:hint="eastAsia" w:asciiTheme="minorEastAsia" w:hAnsiTheme="minorEastAsia" w:eastAsiaTheme="minorEastAsia" w:cstheme="minorEastAsia"/>
        </w:rPr>
        <w:t xml:space="preserve">设立公共账户和个人账户。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2.若甲方选择以上方式（1）的，乙方对于甲方的委托资金在扣除约定的委托管理费用后计入公共账户； </w:t>
      </w:r>
    </w:p>
    <w:p>
      <w:pPr>
        <w:spacing w:after="1"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若甲方选择以上方式（2）的，乙方对于甲方的委托资金在扣除约定的委托管理费用后根据甲方要求分别计入公共账户或个人账户。甲方可在符合国家相关法律法规规定的情况下，申请将公共账户金额转入个人账户，或申请将个人账户金额转入公共账户。 </w:t>
      </w:r>
    </w:p>
    <w:p>
      <w:pPr>
        <w:spacing w:after="2" w:line="520" w:lineRule="exact"/>
        <w:ind w:left="146"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3.对于设立公共账户和个人账户且不同账户的资金支付项目或支付标准不同时，甲方应书面告知乙方各账户的支付项目和支付标准。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第十三条  委托资金结息 </w:t>
      </w:r>
    </w:p>
    <w:p>
      <w:pPr>
        <w:spacing w:after="2"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委托资金在每个自然年度末或账户注销时按当时中国人民银行颁布的活期存款基准利率计息，利息收入分别计入各账户的对应部分。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乙方不对委托资金提供各种形式的增值保证。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第十四条  委托资金转移（适用于甲方为非政府部门的情况）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1.在委托管理期限内，甲方可申请减少公共账户的委托资金金额，乙方以银行转账方式向甲方原支付账户支付该减少部分金额，公共账户价值等额减少。甲方在委托管理期限内每年最多可申请两次。 </w:t>
      </w:r>
    </w:p>
    <w:p>
      <w:pPr>
        <w:spacing w:after="2"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2.对于委托资金发生转移的，针对转移的部分，乙方不向甲方退还已收取的委托管理费用。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第十五条  委托资金不足处理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委托资金支付额度以各账户的账户价值为限。各账户价值不足时，乙方将及时通知甲方，并停止办理该账户的委托资金支付或委托资金转移等服务。甲方弥补委托资金后，乙方将恢复委托资金支付或转移服务。委托资金不足时，乙方不垫付资金。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第十六条  委托资金节余处理 </w:t>
      </w:r>
    </w:p>
    <w:p>
      <w:pPr>
        <w:spacing w:after="10" w:line="520" w:lineRule="exact"/>
        <w:ind w:left="173" w:firstLine="42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如果委托资金有节余，若委托管理期限届满，经双方协商续签本合同的，节余部分可滚存入下一年度，若甲方在下一年度不再进行委托管理或合同履行期间甲方要求终止合作的，乙方将资金以银行转账方式转入甲方原支付账户。 </w:t>
      </w:r>
    </w:p>
    <w:p>
      <w:pPr>
        <w:spacing w:after="137" w:line="520" w:lineRule="exact"/>
        <w:ind w:left="544"/>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68"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第五章  委托资金金额及委托管理费用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第十七条  委托资金金额 </w:t>
      </w:r>
    </w:p>
    <w:p>
      <w:pPr>
        <w:widowControl/>
        <w:spacing w:line="520" w:lineRule="exact"/>
        <w:ind w:left="420" w:leftChars="200" w:firstLine="413" w:firstLineChars="197"/>
        <w:rPr>
          <w:rFonts w:asciiTheme="minorEastAsia" w:hAnsiTheme="minorEastAsia" w:eastAsiaTheme="minorEastAsia" w:cstheme="minorEastAsia"/>
        </w:rPr>
      </w:pPr>
      <w:r>
        <w:rPr>
          <w:rFonts w:hint="eastAsia" w:asciiTheme="minorEastAsia" w:hAnsiTheme="minorEastAsia" w:eastAsiaTheme="minorEastAsia" w:cstheme="minorEastAsia"/>
        </w:rPr>
        <w:t>甲方将于</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日前将首期委托资金：</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元，（大写）</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元整，划归至乙方管理。如甲方为团体成员设立个人账户的，划归至公共账户部分的资金金额为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元，划归至个人账户部分的资金金额共计</w:t>
      </w:r>
      <w:r>
        <w:rPr>
          <w:rFonts w:hint="eastAsia" w:asciiTheme="minorEastAsia" w:hAnsiTheme="minorEastAsia" w:eastAsiaTheme="minorEastAsia" w:cstheme="minorEastAsia"/>
          <w:u w:val="single"/>
        </w:rPr>
        <w:t xml:space="preserve">     /    </w:t>
      </w:r>
      <w:r>
        <w:rPr>
          <w:rFonts w:hint="eastAsia" w:asciiTheme="minorEastAsia" w:hAnsiTheme="minorEastAsia" w:eastAsiaTheme="minorEastAsia" w:cstheme="minorEastAsia"/>
        </w:rPr>
        <w:t xml:space="preserve">元，划归至各团体成员的个人账户部分的资金金额详见团体成员人名清单。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甲方后续可定期、不定期，定额、不定额地增加委托资金。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第十八条  委托管理费用的支付 </w:t>
      </w:r>
    </w:p>
    <w:p>
      <w:pPr>
        <w:spacing w:line="520" w:lineRule="exact"/>
        <w:ind w:left="630"/>
        <w:rPr>
          <w:rFonts w:asciiTheme="minorEastAsia" w:hAnsiTheme="minorEastAsia" w:eastAsiaTheme="minorEastAsia" w:cstheme="minorEastAsia"/>
        </w:rPr>
      </w:pPr>
      <w:r>
        <w:rPr>
          <w:rFonts w:hint="eastAsia" w:asciiTheme="minorEastAsia" w:hAnsiTheme="minorEastAsia" w:eastAsiaTheme="minorEastAsia" w:cstheme="minorEastAsia"/>
        </w:rPr>
        <w:t>1.甲乙双方约定的委托管理费用的支付方式为由甲方于每年</w:t>
      </w:r>
      <w:r>
        <w:rPr>
          <w:rFonts w:hint="eastAsia" w:asciiTheme="minorEastAsia" w:hAnsiTheme="minorEastAsia" w:eastAsiaTheme="minorEastAsia" w:cstheme="minorEastAsia"/>
          <w:u w:val="single" w:color="000000"/>
        </w:rPr>
        <w:t xml:space="preserve"> /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color="000000"/>
        </w:rPr>
        <w:t xml:space="preserve"> /  </w:t>
      </w:r>
      <w:r>
        <w:rPr>
          <w:rFonts w:hint="eastAsia" w:asciiTheme="minorEastAsia" w:hAnsiTheme="minorEastAsia" w:eastAsiaTheme="minorEastAsia" w:cstheme="minorEastAsia"/>
        </w:rPr>
        <w:t xml:space="preserve">日前另行支付。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2.甲乙双方约定委托管理费用的支付金额为： </w:t>
      </w:r>
    </w:p>
    <w:p>
      <w:pPr>
        <w:spacing w:after="3"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比例形式：按甲方每次增加的委托资金的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%收取。委托管理期限届满续签本合同的，对于滚存入下一委托管理期限的委托资金，乙方不再收取委托管理费用。 </w:t>
      </w:r>
    </w:p>
    <w:p>
      <w:pPr>
        <w:spacing w:after="3"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3.公共账户与团体成员的个人账户之间发生资金转移的，针对转移的部分，乙方不再收取委托管理费用。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第十九条  委托管理费用变动 </w:t>
      </w:r>
    </w:p>
    <w:p>
      <w:pPr>
        <w:spacing w:after="3"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在本合同有效期内，根据委托服务内容的变动或实际成本的变化，经双方协商一致，可以调整委托管理费用的收取比例或金额。 </w:t>
      </w:r>
    </w:p>
    <w:p>
      <w:pPr>
        <w:spacing w:line="520" w:lineRule="exact"/>
        <w:ind w:left="638"/>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70"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第六章  团体成员范围及其变动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第二十条  团体成员范围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团体成员指由甲方指定的委托资金支付对象。具体人员详见团体成员人名清单。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第二十一条  团体成员增加处理 </w:t>
      </w:r>
    </w:p>
    <w:p>
      <w:pPr>
        <w:spacing w:after="1"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因人员变动需要增加团体成员的，应书面通知乙方，自乙方收到书面通知及相关资料后，自书面通知载明的对该团体成员提供委托管理服务的生效日起，乙方按本合同约定对新增团体成员开始提供委托管理服务。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第二十二条  团体成员减少处理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因人员变动需要减少团体成员的，应书面通知乙方，自乙方收到书面通知及相关资料后，自书面通知载明的对该团体成员提供委托管理服务的终止日起，乙方对该团体成员不再提供委托管理服务。如甲方为团体成员设立个人账户且该减少的团体成员个人账户有余额的，除另有约定外，对于团体成员身故的情况，乙方将个人账户价值余额退还给该团体成员的法定继承人；对于其他原因导致团体成员减少的情况，乙方将个人账户价值余额以银行转账方式退还给甲方或转入公共账户，同时注销该团体成员的个人账户。 </w:t>
      </w:r>
    </w:p>
    <w:p>
      <w:pPr>
        <w:spacing w:after="137" w:line="520" w:lineRule="exact"/>
        <w:ind w:left="576"/>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68"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第七章  甲方的权利和义务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第二十三条</w:t>
      </w: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rPr>
        <w:t xml:space="preserve"> 甲方承诺：作为政府部门或依法成立的机关、企业、事业单位和社会团体，</w:t>
      </w:r>
    </w:p>
    <w:p>
      <w:pPr>
        <w:spacing w:after="1" w:line="520" w:lineRule="exact"/>
        <w:ind w:left="154"/>
        <w:rPr>
          <w:rFonts w:asciiTheme="minorEastAsia" w:hAnsiTheme="minorEastAsia" w:eastAsiaTheme="minorEastAsia" w:cstheme="minorEastAsia"/>
        </w:rPr>
      </w:pPr>
      <w:r>
        <w:rPr>
          <w:rFonts w:hint="eastAsia" w:asciiTheme="minorEastAsia" w:hAnsiTheme="minorEastAsia" w:eastAsiaTheme="minorEastAsia" w:cstheme="minorEastAsia"/>
        </w:rPr>
        <w:t xml:space="preserve">有签署本合同的主体资格和履行能力；甲方签署和履行本合同，不违反其批准设立机关的批准文件、单位章程和适用于甲方的任何判决、裁定、授权、协议；委托行为和委托资金来源合法，符合国家反洗钱相关规定，除本合同另有约定外，任何第三方不会就委托资金主张权利，而且该项委托不会为任何其他第三方所质疑。因委托资金来源、资质等不合法因素导致的一切后果由甲方承担。 </w:t>
      </w:r>
    </w:p>
    <w:p>
      <w:pPr>
        <w:spacing w:after="1"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第二十四条  甲方有权监督乙方的委托管理服务工作并提出意见和合理要求；甲方有权按委托资金的实际运营情况，要求调整支付项目和支付标准；甲方有权查询委托资金的运营状况并要求乙方对委托资金的管理情况做出说明。 </w:t>
      </w:r>
    </w:p>
    <w:p>
      <w:pPr>
        <w:spacing w:after="2"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第二十五条  甲方应按本合同约定，及时筹集和建立委托资金，并按时支付乙方委托管理费用。 </w:t>
      </w:r>
    </w:p>
    <w:p>
      <w:pPr>
        <w:spacing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第二十六条  甲方应及时将团体成员名单和相关身份信息等乙方履行委托管理服务职责及反洗钱义务必需的资料提供给乙方，配合乙方做好委托资金支付及风险管理等各项工作。 </w:t>
      </w:r>
    </w:p>
    <w:p>
      <w:pPr>
        <w:spacing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甲方应确保所提供的团体成员信息等资料均为真实、完整、合法，没有任何重大遗漏或误导，否则由此带来的责任由甲方承担。 </w:t>
      </w:r>
    </w:p>
    <w:p>
      <w:pPr>
        <w:spacing w:after="61" w:line="520" w:lineRule="exact"/>
        <w:ind w:left="179"/>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68"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第八章  乙方的权利和义务 </w:t>
      </w:r>
    </w:p>
    <w:p>
      <w:pPr>
        <w:spacing w:after="20"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第二十七条  乙方承诺：作为依法成立的法人机构，有签署本合同的主体资格和履行能力；乙方签署和履行本合同，不违反其批准设立机关的批准文件、单位章程和适用于乙方的任何判决、裁定、授权、协议。 </w:t>
      </w:r>
    </w:p>
    <w:p>
      <w:pPr>
        <w:spacing w:line="520" w:lineRule="exact"/>
        <w:ind w:left="146" w:firstLine="42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第二十八条  乙方有权及时、足额收取委托管理费用，并要求甲方履行本合同项下的相关义务；如甲方未按时、按约定支付乙方委托管理费用，乙方有权解除本合同。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第二十九条  乙方有权及时获得履行委托管理服务职责必需的资料及其他信息。 </w:t>
      </w:r>
    </w:p>
    <w:p>
      <w:pPr>
        <w:spacing w:after="7"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第三十条  乙方应以诚实信用、勤勉尽责的原则开展委托管理服务工作，发挥商业保险精算管理、风险管理和理赔管理等优势，提高管理服务的质量和效率，完善业务管理流程，不断提高客户满意度。 </w:t>
      </w:r>
    </w:p>
    <w:p>
      <w:pPr>
        <w:spacing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第三十一条</w:t>
      </w: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rPr>
        <w:t xml:space="preserve"> 对于甲方将委托资金划归乙方管理的，乙方应设立单独账户管理资金，专款专用，并按甲方要求定期进行委托资金账务核对。</w:t>
      </w:r>
      <w:r>
        <w:rPr>
          <w:rFonts w:hint="eastAsia" w:asciiTheme="minorEastAsia" w:hAnsiTheme="minorEastAsia" w:eastAsiaTheme="minorEastAsia" w:cstheme="minorEastAsia"/>
          <w:b/>
        </w:rPr>
        <w:t xml:space="preserve"> </w:t>
      </w:r>
    </w:p>
    <w:p>
      <w:pPr>
        <w:spacing w:after="64" w:line="520" w:lineRule="exact"/>
        <w:ind w:left="179"/>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68"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第九章  违约责任 </w:t>
      </w:r>
    </w:p>
    <w:p>
      <w:pPr>
        <w:spacing w:after="2"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第三十二条  本合同任何一方未按约定履行其在本合同项下的义务或违反本合同相关约定的，应承担违约责任。 </w:t>
      </w:r>
    </w:p>
    <w:p>
      <w:pPr>
        <w:spacing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由于上述违约行为导致本合同无法继续履行的，守约方有权解除合同，违约方应承担因此给守约方造成的全部损失。 </w:t>
      </w:r>
    </w:p>
    <w:p>
      <w:pPr>
        <w:spacing w:after="64" w:line="520" w:lineRule="exact"/>
        <w:ind w:left="179"/>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68"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第十章  争议处理 </w:t>
      </w:r>
    </w:p>
    <w:p>
      <w:pPr>
        <w:spacing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第三十三条  本合同争议解决方式由当事人约定选择下列第</w:t>
      </w:r>
      <w:r>
        <w:rPr>
          <w:rFonts w:hint="eastAsia" w:asciiTheme="minorEastAsia" w:hAnsiTheme="minorEastAsia" w:eastAsiaTheme="minorEastAsia" w:cstheme="minorEastAsia"/>
          <w:u w:val="single" w:color="000000"/>
        </w:rPr>
        <w:t xml:space="preserve">  2   </w:t>
      </w:r>
      <w:r>
        <w:rPr>
          <w:rFonts w:hint="eastAsia" w:asciiTheme="minorEastAsia" w:hAnsiTheme="minorEastAsia" w:eastAsiaTheme="minorEastAsia" w:cstheme="minorEastAsia"/>
        </w:rPr>
        <w:t xml:space="preserve">种方式： </w:t>
      </w:r>
    </w:p>
    <w:p>
      <w:pPr>
        <w:spacing w:after="24" w:line="520" w:lineRule="exact"/>
        <w:ind w:left="146" w:firstLine="430"/>
        <w:rPr>
          <w:rFonts w:asciiTheme="minorEastAsia" w:hAnsiTheme="minorEastAsia" w:eastAsiaTheme="minorEastAsia" w:cstheme="minorEastAsia"/>
        </w:rPr>
      </w:pPr>
      <w:r>
        <w:rPr>
          <w:rFonts w:hint="eastAsia" w:asciiTheme="minorEastAsia" w:hAnsiTheme="minorEastAsia" w:eastAsiaTheme="minorEastAsia" w:cstheme="minorEastAsia"/>
        </w:rPr>
        <w:t>1.因履行本合同发生的争议，由当事人协商解决，协商不成的，提交</w:t>
      </w:r>
      <w:r>
        <w:rPr>
          <w:rFonts w:hint="eastAsia" w:asciiTheme="minorEastAsia" w:hAnsiTheme="minorEastAsia" w:eastAsiaTheme="minorEastAsia" w:cstheme="minorEastAsia"/>
          <w:u w:val="single" w:color="000000"/>
        </w:rPr>
        <w:t xml:space="preserve">               </w:t>
      </w:r>
      <w:r>
        <w:rPr>
          <w:rFonts w:hint="eastAsia" w:asciiTheme="minorEastAsia" w:hAnsiTheme="minorEastAsia" w:eastAsiaTheme="minorEastAsia" w:cstheme="minorEastAsia"/>
        </w:rPr>
        <w:t xml:space="preserve">仲裁委员会仲裁； </w:t>
      </w:r>
    </w:p>
    <w:p>
      <w:pPr>
        <w:spacing w:after="64" w:line="520" w:lineRule="exact"/>
        <w:ind w:left="210" w:leftChars="100" w:right="166" w:firstLine="409" w:firstLineChars="195"/>
        <w:rPr>
          <w:rFonts w:asciiTheme="minorEastAsia" w:hAnsiTheme="minorEastAsia" w:eastAsiaTheme="minorEastAsia" w:cstheme="minorEastAsia"/>
        </w:rPr>
      </w:pPr>
      <w:r>
        <w:rPr>
          <w:rFonts w:hint="eastAsia" w:asciiTheme="minorEastAsia" w:hAnsiTheme="minorEastAsia" w:eastAsiaTheme="minorEastAsia" w:cstheme="minorEastAsia"/>
        </w:rPr>
        <w:t xml:space="preserve">2.因履行本合同发生的争议，由当事人协商解决，协商不成的，依法向人民法院起诉。 </w:t>
      </w:r>
    </w:p>
    <w:p>
      <w:pPr>
        <w:spacing w:after="64" w:line="520" w:lineRule="exact"/>
        <w:ind w:left="179"/>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6" w:line="520" w:lineRule="exact"/>
        <w:ind w:left="540" w:right="468" w:hanging="1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第十一章   附则 </w:t>
      </w:r>
    </w:p>
    <w:p>
      <w:pPr>
        <w:spacing w:after="17" w:line="520" w:lineRule="exact"/>
        <w:ind w:left="146" w:firstLine="432"/>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第三十四条  本合同各项附件是本合同不可分割的组成部分，与本合同具有同等的法律效力。 </w:t>
      </w:r>
    </w:p>
    <w:p>
      <w:pPr>
        <w:spacing w:after="144" w:line="520" w:lineRule="exact"/>
        <w:ind w:left="586"/>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第三十五条  本合同一式两份，甲乙双方各执一份，每份都具有同等效力。 </w:t>
      </w:r>
    </w:p>
    <w:p>
      <w:pPr>
        <w:spacing w:line="520" w:lineRule="exact"/>
        <w:ind w:left="173" w:right="845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520" w:lineRule="exact"/>
        <w:ind w:left="173" w:right="845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131" w:line="520" w:lineRule="exact"/>
        <w:ind w:left="17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100" w:line="520" w:lineRule="exact"/>
        <w:ind w:left="17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70" w:line="520" w:lineRule="exact"/>
        <w:ind w:left="181"/>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甲方（公章）： </w:t>
      </w:r>
    </w:p>
    <w:p>
      <w:pPr>
        <w:spacing w:after="70" w:line="520" w:lineRule="exact"/>
        <w:ind w:left="17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70" w:line="520" w:lineRule="exact"/>
        <w:ind w:left="181"/>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 </w:t>
      </w:r>
    </w:p>
    <w:p>
      <w:pPr>
        <w:spacing w:after="70" w:line="520" w:lineRule="exact"/>
        <w:ind w:left="17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70" w:line="520" w:lineRule="exact"/>
        <w:ind w:left="17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69" w:line="520" w:lineRule="exact"/>
        <w:ind w:left="17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70" w:line="520" w:lineRule="exact"/>
        <w:ind w:left="17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after="70" w:line="520" w:lineRule="exact"/>
        <w:ind w:left="181"/>
        <w:rPr>
          <w:rFonts w:asciiTheme="minorEastAsia" w:hAnsiTheme="minorEastAsia" w:eastAsiaTheme="minorEastAsia" w:cstheme="minorEastAsia"/>
        </w:rPr>
      </w:pPr>
      <w:r>
        <w:rPr>
          <w:rFonts w:hint="eastAsia" w:asciiTheme="minorEastAsia" w:hAnsiTheme="minorEastAsia" w:eastAsiaTheme="minorEastAsia" w:cstheme="minorEastAsia"/>
        </w:rPr>
        <w:t xml:space="preserve">乙方（公章）： </w:t>
      </w:r>
    </w:p>
    <w:p>
      <w:pPr>
        <w:spacing w:after="70" w:line="520" w:lineRule="exact"/>
        <w:ind w:left="173"/>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520" w:lineRule="exact"/>
        <w:ind w:left="181"/>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 </w:t>
      </w:r>
    </w:p>
    <w:p>
      <w:pPr>
        <w:spacing w:line="520" w:lineRule="exact"/>
        <w:ind w:left="576"/>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360" w:lineRule="auto"/>
      </w:pPr>
    </w:p>
    <w:sectPr>
      <w:headerReference r:id="rId7" w:type="default"/>
      <w:footerReference r:id="rId8" w:type="default"/>
      <w:pgSz w:w="11906" w:h="16838"/>
      <w:pgMar w:top="1440" w:right="991" w:bottom="1440"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center"/>
      <w:rPr>
        <w:rFonts w:hint="eastAsia" w:eastAsia="宋体"/>
        <w:lang w:val="en-US" w:eastAsia="zh-CN"/>
      </w:rPr>
    </w:pP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dV4rMAgAAIg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ALdV4rMAgAA&#10;IgYAAA4AAAAAAAAAAQAgAAAAHwEAAGRycy9lMm9Eb2MueG1sUEsFBgAAAAAGAAYAWQEAAF0GAAAA&#10;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center"/>
      <w:rPr>
        <w:rFonts w:hint="eastAsia" w:eastAsia="宋体"/>
        <w:lang w:val="en-US" w:eastAsia="zh-CN"/>
      </w:rPr>
    </w:pPr>
    <w:r>
      <w:rPr>
        <w:rFonts w:hint="eastAsia"/>
        <w:lang w:val="en-US"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4En53MAgAA&#10;IgYAAA4AAAAAAAAAAQAgAAAAHwEAAGRycy9lMm9Eb2MueG1sUEsFBgAAAAAGAAYAWQEAAF0GAAAA&#10;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rFonts w:ascii="方正仿宋_GBK" w:eastAsia="方正仿宋_GBK" w:cs="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71BCE"/>
    <w:multiLevelType w:val="singleLevel"/>
    <w:tmpl w:val="86271BCE"/>
    <w:lvl w:ilvl="0" w:tentative="0">
      <w:start w:val="4"/>
      <w:numFmt w:val="decimal"/>
      <w:suff w:val="nothing"/>
      <w:lvlText w:val="（%1）"/>
      <w:lvlJc w:val="left"/>
    </w:lvl>
  </w:abstractNum>
  <w:abstractNum w:abstractNumId="1">
    <w:nsid w:val="ADE95C18"/>
    <w:multiLevelType w:val="singleLevel"/>
    <w:tmpl w:val="ADE95C18"/>
    <w:lvl w:ilvl="0" w:tentative="0">
      <w:start w:val="4"/>
      <w:numFmt w:val="chineseCounting"/>
      <w:suff w:val="space"/>
      <w:lvlText w:val="第%1部分"/>
      <w:lvlJc w:val="left"/>
      <w:rPr>
        <w:rFonts w:hint="eastAsia"/>
      </w:rPr>
    </w:lvl>
  </w:abstractNum>
  <w:abstractNum w:abstractNumId="2">
    <w:nsid w:val="CE6E281C"/>
    <w:multiLevelType w:val="singleLevel"/>
    <w:tmpl w:val="CE6E281C"/>
    <w:lvl w:ilvl="0" w:tentative="0">
      <w:start w:val="6"/>
      <w:numFmt w:val="chineseCounting"/>
      <w:suff w:val="nothing"/>
      <w:lvlText w:val="%1、"/>
      <w:lvlJc w:val="left"/>
      <w:rPr>
        <w:rFonts w:hint="eastAsia"/>
      </w:rPr>
    </w:lvl>
  </w:abstractNum>
  <w:abstractNum w:abstractNumId="3">
    <w:nsid w:val="67FD1F53"/>
    <w:multiLevelType w:val="multilevel"/>
    <w:tmpl w:val="67FD1F53"/>
    <w:lvl w:ilvl="0" w:tentative="0">
      <w:start w:val="1"/>
      <w:numFmt w:val="decimal"/>
      <w:lvlText w:val="（%1）"/>
      <w:lvlJc w:val="left"/>
      <w:pPr>
        <w:ind w:left="1155"/>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62"/>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82"/>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002"/>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722"/>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442"/>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62"/>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82"/>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602"/>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6FD0A14F"/>
    <w:multiLevelType w:val="singleLevel"/>
    <w:tmpl w:val="6FD0A14F"/>
    <w:lvl w:ilvl="0" w:tentative="0">
      <w:start w:val="1"/>
      <w:numFmt w:val="chineseCounting"/>
      <w:suff w:val="space"/>
      <w:lvlText w:val="第%1部分"/>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mMxYzAzYmU2NWIxMzRjYzU3NWJhMDhjM2M4NzMifQ=="/>
    <w:docVar w:name="KSO_WPS_MARK_KEY" w:val="150e5bdd-326e-42e0-89bb-ebe41f286f9a"/>
  </w:docVars>
  <w:rsids>
    <w:rsidRoot w:val="71100B0B"/>
    <w:rsid w:val="000278FE"/>
    <w:rsid w:val="00091AB8"/>
    <w:rsid w:val="00093C78"/>
    <w:rsid w:val="00097CA1"/>
    <w:rsid w:val="000A5B2E"/>
    <w:rsid w:val="000F74D1"/>
    <w:rsid w:val="00143E2E"/>
    <w:rsid w:val="00144170"/>
    <w:rsid w:val="0015710A"/>
    <w:rsid w:val="001827A3"/>
    <w:rsid w:val="001865DF"/>
    <w:rsid w:val="001A14BA"/>
    <w:rsid w:val="001B0120"/>
    <w:rsid w:val="001C0E8D"/>
    <w:rsid w:val="001C4A28"/>
    <w:rsid w:val="001E39D2"/>
    <w:rsid w:val="00216EB7"/>
    <w:rsid w:val="0022167C"/>
    <w:rsid w:val="0024448E"/>
    <w:rsid w:val="00277A9A"/>
    <w:rsid w:val="002A29A2"/>
    <w:rsid w:val="002C1275"/>
    <w:rsid w:val="002D4D14"/>
    <w:rsid w:val="002D601E"/>
    <w:rsid w:val="002E4427"/>
    <w:rsid w:val="002F665E"/>
    <w:rsid w:val="002F7E88"/>
    <w:rsid w:val="0032152B"/>
    <w:rsid w:val="00326BF0"/>
    <w:rsid w:val="0034286D"/>
    <w:rsid w:val="00362505"/>
    <w:rsid w:val="003660E8"/>
    <w:rsid w:val="00372A4B"/>
    <w:rsid w:val="003A40DA"/>
    <w:rsid w:val="00417B71"/>
    <w:rsid w:val="004340BF"/>
    <w:rsid w:val="00437DEF"/>
    <w:rsid w:val="00446450"/>
    <w:rsid w:val="00452AAB"/>
    <w:rsid w:val="004A3180"/>
    <w:rsid w:val="004A636E"/>
    <w:rsid w:val="004B2CE7"/>
    <w:rsid w:val="004E6295"/>
    <w:rsid w:val="004F0CC1"/>
    <w:rsid w:val="004F4A22"/>
    <w:rsid w:val="00502272"/>
    <w:rsid w:val="005121DB"/>
    <w:rsid w:val="00515DFE"/>
    <w:rsid w:val="00533197"/>
    <w:rsid w:val="005805CF"/>
    <w:rsid w:val="00586DB8"/>
    <w:rsid w:val="00595CD2"/>
    <w:rsid w:val="005B2572"/>
    <w:rsid w:val="005B5868"/>
    <w:rsid w:val="005C3F9B"/>
    <w:rsid w:val="005E2689"/>
    <w:rsid w:val="005E7DDC"/>
    <w:rsid w:val="00610AA4"/>
    <w:rsid w:val="006211AE"/>
    <w:rsid w:val="00630DA3"/>
    <w:rsid w:val="0067311F"/>
    <w:rsid w:val="00684655"/>
    <w:rsid w:val="006849CC"/>
    <w:rsid w:val="006A1747"/>
    <w:rsid w:val="006B4D01"/>
    <w:rsid w:val="006B4DA4"/>
    <w:rsid w:val="006C48F4"/>
    <w:rsid w:val="006E3CF8"/>
    <w:rsid w:val="007404BC"/>
    <w:rsid w:val="00744E93"/>
    <w:rsid w:val="007457C0"/>
    <w:rsid w:val="00747721"/>
    <w:rsid w:val="007575D7"/>
    <w:rsid w:val="00786B63"/>
    <w:rsid w:val="0079315C"/>
    <w:rsid w:val="007A52CD"/>
    <w:rsid w:val="007B5ADF"/>
    <w:rsid w:val="007E23CA"/>
    <w:rsid w:val="007E2856"/>
    <w:rsid w:val="00801B8F"/>
    <w:rsid w:val="008373AA"/>
    <w:rsid w:val="00851279"/>
    <w:rsid w:val="00870524"/>
    <w:rsid w:val="00870FDD"/>
    <w:rsid w:val="00884C2D"/>
    <w:rsid w:val="0088617E"/>
    <w:rsid w:val="008B4F4C"/>
    <w:rsid w:val="008E5940"/>
    <w:rsid w:val="00912644"/>
    <w:rsid w:val="009163D7"/>
    <w:rsid w:val="00924422"/>
    <w:rsid w:val="009424AE"/>
    <w:rsid w:val="009B40AA"/>
    <w:rsid w:val="009E0EE3"/>
    <w:rsid w:val="009E63E4"/>
    <w:rsid w:val="009F0B74"/>
    <w:rsid w:val="009F6FBC"/>
    <w:rsid w:val="00A0775A"/>
    <w:rsid w:val="00A17830"/>
    <w:rsid w:val="00A24B53"/>
    <w:rsid w:val="00A25302"/>
    <w:rsid w:val="00A3206D"/>
    <w:rsid w:val="00A43430"/>
    <w:rsid w:val="00A4636D"/>
    <w:rsid w:val="00A74B58"/>
    <w:rsid w:val="00AC7934"/>
    <w:rsid w:val="00AF4242"/>
    <w:rsid w:val="00B0176E"/>
    <w:rsid w:val="00B11D9F"/>
    <w:rsid w:val="00B15428"/>
    <w:rsid w:val="00B21DB0"/>
    <w:rsid w:val="00B25EF3"/>
    <w:rsid w:val="00B57DDF"/>
    <w:rsid w:val="00B7044B"/>
    <w:rsid w:val="00B8291B"/>
    <w:rsid w:val="00B870DA"/>
    <w:rsid w:val="00BB04AB"/>
    <w:rsid w:val="00BE5C0F"/>
    <w:rsid w:val="00BF2936"/>
    <w:rsid w:val="00C42AAD"/>
    <w:rsid w:val="00C443E3"/>
    <w:rsid w:val="00C53778"/>
    <w:rsid w:val="00C6445D"/>
    <w:rsid w:val="00C738B4"/>
    <w:rsid w:val="00CC5EAA"/>
    <w:rsid w:val="00CD1EC6"/>
    <w:rsid w:val="00CE0525"/>
    <w:rsid w:val="00CE2881"/>
    <w:rsid w:val="00D46356"/>
    <w:rsid w:val="00D63158"/>
    <w:rsid w:val="00D70E88"/>
    <w:rsid w:val="00D7765B"/>
    <w:rsid w:val="00D81D9D"/>
    <w:rsid w:val="00D9155D"/>
    <w:rsid w:val="00DB2AC0"/>
    <w:rsid w:val="00DC1E92"/>
    <w:rsid w:val="00DD5647"/>
    <w:rsid w:val="00E11F15"/>
    <w:rsid w:val="00E3185C"/>
    <w:rsid w:val="00E350EC"/>
    <w:rsid w:val="00E5086B"/>
    <w:rsid w:val="00E8329D"/>
    <w:rsid w:val="00EA4C3D"/>
    <w:rsid w:val="00ED1B34"/>
    <w:rsid w:val="00ED744B"/>
    <w:rsid w:val="00EF344C"/>
    <w:rsid w:val="00F02930"/>
    <w:rsid w:val="00F04DEC"/>
    <w:rsid w:val="00F307FF"/>
    <w:rsid w:val="00F642B1"/>
    <w:rsid w:val="00F857FC"/>
    <w:rsid w:val="00F86536"/>
    <w:rsid w:val="00FB4052"/>
    <w:rsid w:val="00FC168D"/>
    <w:rsid w:val="00FD271F"/>
    <w:rsid w:val="012A6F94"/>
    <w:rsid w:val="01473D59"/>
    <w:rsid w:val="01623F80"/>
    <w:rsid w:val="021653D9"/>
    <w:rsid w:val="046406BD"/>
    <w:rsid w:val="04EE36C6"/>
    <w:rsid w:val="050E7090"/>
    <w:rsid w:val="058922E0"/>
    <w:rsid w:val="06164201"/>
    <w:rsid w:val="06C12B60"/>
    <w:rsid w:val="07785760"/>
    <w:rsid w:val="088210E3"/>
    <w:rsid w:val="094A0C63"/>
    <w:rsid w:val="09561AEF"/>
    <w:rsid w:val="09B214F2"/>
    <w:rsid w:val="09B75260"/>
    <w:rsid w:val="09F568AC"/>
    <w:rsid w:val="0A5A4C96"/>
    <w:rsid w:val="0A7F062C"/>
    <w:rsid w:val="0ACC55E1"/>
    <w:rsid w:val="0B923F0E"/>
    <w:rsid w:val="0C1F79B0"/>
    <w:rsid w:val="0D661447"/>
    <w:rsid w:val="0EBB738F"/>
    <w:rsid w:val="0EDB19CC"/>
    <w:rsid w:val="102D5E8E"/>
    <w:rsid w:val="104B066F"/>
    <w:rsid w:val="10FC32FD"/>
    <w:rsid w:val="11125D02"/>
    <w:rsid w:val="11A5302E"/>
    <w:rsid w:val="1207443F"/>
    <w:rsid w:val="121D322F"/>
    <w:rsid w:val="1279195B"/>
    <w:rsid w:val="129B03DA"/>
    <w:rsid w:val="15770141"/>
    <w:rsid w:val="16A60B8F"/>
    <w:rsid w:val="16D71EDB"/>
    <w:rsid w:val="173A62A1"/>
    <w:rsid w:val="17C6418D"/>
    <w:rsid w:val="17E466CC"/>
    <w:rsid w:val="182D493B"/>
    <w:rsid w:val="184C396E"/>
    <w:rsid w:val="197B5DCD"/>
    <w:rsid w:val="1A7B1F72"/>
    <w:rsid w:val="1AB11E3C"/>
    <w:rsid w:val="1AD5150D"/>
    <w:rsid w:val="1B251FF4"/>
    <w:rsid w:val="1B803130"/>
    <w:rsid w:val="1C1158C6"/>
    <w:rsid w:val="1C534DE0"/>
    <w:rsid w:val="1D1516F7"/>
    <w:rsid w:val="1DED36A7"/>
    <w:rsid w:val="1E6F6458"/>
    <w:rsid w:val="1E884DA9"/>
    <w:rsid w:val="1EC76CE7"/>
    <w:rsid w:val="1F376176"/>
    <w:rsid w:val="1FBC30AE"/>
    <w:rsid w:val="21BA320B"/>
    <w:rsid w:val="21C621F0"/>
    <w:rsid w:val="22AD4841"/>
    <w:rsid w:val="22B44A85"/>
    <w:rsid w:val="22EB6579"/>
    <w:rsid w:val="23957254"/>
    <w:rsid w:val="23DE4815"/>
    <w:rsid w:val="24055A18"/>
    <w:rsid w:val="25484AD6"/>
    <w:rsid w:val="25B4719C"/>
    <w:rsid w:val="26343165"/>
    <w:rsid w:val="27A03607"/>
    <w:rsid w:val="280B5577"/>
    <w:rsid w:val="284E528B"/>
    <w:rsid w:val="28577130"/>
    <w:rsid w:val="28A96D2E"/>
    <w:rsid w:val="29C94FA4"/>
    <w:rsid w:val="2A482B2F"/>
    <w:rsid w:val="2ABA66E2"/>
    <w:rsid w:val="2B7B6995"/>
    <w:rsid w:val="2BC46167"/>
    <w:rsid w:val="2BCF0B6A"/>
    <w:rsid w:val="2DA32E56"/>
    <w:rsid w:val="2DA729BC"/>
    <w:rsid w:val="2DEA65C2"/>
    <w:rsid w:val="2EE915C9"/>
    <w:rsid w:val="2F3F6949"/>
    <w:rsid w:val="302E1B8C"/>
    <w:rsid w:val="314813F8"/>
    <w:rsid w:val="31C8770C"/>
    <w:rsid w:val="31E03171"/>
    <w:rsid w:val="31F03C25"/>
    <w:rsid w:val="330B0E2E"/>
    <w:rsid w:val="336D3922"/>
    <w:rsid w:val="338557F7"/>
    <w:rsid w:val="33B75896"/>
    <w:rsid w:val="33BE3AB1"/>
    <w:rsid w:val="33EF3257"/>
    <w:rsid w:val="341D290A"/>
    <w:rsid w:val="34953C36"/>
    <w:rsid w:val="34A51617"/>
    <w:rsid w:val="34D72F2E"/>
    <w:rsid w:val="34EB5AAA"/>
    <w:rsid w:val="365127AF"/>
    <w:rsid w:val="368921BF"/>
    <w:rsid w:val="37B3604B"/>
    <w:rsid w:val="388F774F"/>
    <w:rsid w:val="395A59C0"/>
    <w:rsid w:val="39AC730D"/>
    <w:rsid w:val="39E430C3"/>
    <w:rsid w:val="3A235CFD"/>
    <w:rsid w:val="3AE66A31"/>
    <w:rsid w:val="3B021931"/>
    <w:rsid w:val="3B030060"/>
    <w:rsid w:val="3B62094D"/>
    <w:rsid w:val="3BA13CE3"/>
    <w:rsid w:val="3BC136BC"/>
    <w:rsid w:val="3BFE7A30"/>
    <w:rsid w:val="3C292AD9"/>
    <w:rsid w:val="3CFE5DA8"/>
    <w:rsid w:val="3D747C3E"/>
    <w:rsid w:val="3F643F42"/>
    <w:rsid w:val="3FC37FE2"/>
    <w:rsid w:val="40753394"/>
    <w:rsid w:val="40D53322"/>
    <w:rsid w:val="41593545"/>
    <w:rsid w:val="4176473F"/>
    <w:rsid w:val="42AC3521"/>
    <w:rsid w:val="43187D6D"/>
    <w:rsid w:val="43BC5C20"/>
    <w:rsid w:val="44CC65D0"/>
    <w:rsid w:val="46071CB3"/>
    <w:rsid w:val="47024B89"/>
    <w:rsid w:val="4713141D"/>
    <w:rsid w:val="47205504"/>
    <w:rsid w:val="476D4662"/>
    <w:rsid w:val="477D5225"/>
    <w:rsid w:val="483F5A28"/>
    <w:rsid w:val="4871131E"/>
    <w:rsid w:val="487601B6"/>
    <w:rsid w:val="49433804"/>
    <w:rsid w:val="4BEC00E2"/>
    <w:rsid w:val="4D4815C2"/>
    <w:rsid w:val="4D657338"/>
    <w:rsid w:val="4E0338CF"/>
    <w:rsid w:val="4E6E59F1"/>
    <w:rsid w:val="4EE66825"/>
    <w:rsid w:val="4F7466D6"/>
    <w:rsid w:val="4F90729C"/>
    <w:rsid w:val="4FFD70F6"/>
    <w:rsid w:val="50BB1C63"/>
    <w:rsid w:val="50FF1CE7"/>
    <w:rsid w:val="51331C92"/>
    <w:rsid w:val="51ED3DC6"/>
    <w:rsid w:val="52525E98"/>
    <w:rsid w:val="534B171A"/>
    <w:rsid w:val="537A4347"/>
    <w:rsid w:val="53B56D4C"/>
    <w:rsid w:val="543C76F0"/>
    <w:rsid w:val="561A0231"/>
    <w:rsid w:val="56F13312"/>
    <w:rsid w:val="5750309F"/>
    <w:rsid w:val="58F122D2"/>
    <w:rsid w:val="59A85CAD"/>
    <w:rsid w:val="5A2C46F1"/>
    <w:rsid w:val="5A801732"/>
    <w:rsid w:val="5A982C41"/>
    <w:rsid w:val="5C4C26DD"/>
    <w:rsid w:val="5D965750"/>
    <w:rsid w:val="5DB21FF4"/>
    <w:rsid w:val="5E2330CF"/>
    <w:rsid w:val="5EEB4C16"/>
    <w:rsid w:val="5F286671"/>
    <w:rsid w:val="60161351"/>
    <w:rsid w:val="601E266E"/>
    <w:rsid w:val="608A3D2E"/>
    <w:rsid w:val="60C041A2"/>
    <w:rsid w:val="60E45647"/>
    <w:rsid w:val="62FE6A07"/>
    <w:rsid w:val="63050BB9"/>
    <w:rsid w:val="63072CFA"/>
    <w:rsid w:val="63696A2E"/>
    <w:rsid w:val="64072EA8"/>
    <w:rsid w:val="64535467"/>
    <w:rsid w:val="646A423F"/>
    <w:rsid w:val="64F535CA"/>
    <w:rsid w:val="650D10C7"/>
    <w:rsid w:val="659D04F7"/>
    <w:rsid w:val="66516764"/>
    <w:rsid w:val="67B35219"/>
    <w:rsid w:val="67C72C4A"/>
    <w:rsid w:val="685663DB"/>
    <w:rsid w:val="68D22E0A"/>
    <w:rsid w:val="68DD59E6"/>
    <w:rsid w:val="68ED2FAF"/>
    <w:rsid w:val="69360197"/>
    <w:rsid w:val="694412BF"/>
    <w:rsid w:val="6A2A6ABF"/>
    <w:rsid w:val="6BDC33EC"/>
    <w:rsid w:val="6BF0526A"/>
    <w:rsid w:val="6C26230F"/>
    <w:rsid w:val="6C2D7F56"/>
    <w:rsid w:val="6D0B6E51"/>
    <w:rsid w:val="6D1E1611"/>
    <w:rsid w:val="6DBF92C6"/>
    <w:rsid w:val="6E491C9E"/>
    <w:rsid w:val="6F582C0D"/>
    <w:rsid w:val="6F8A55DB"/>
    <w:rsid w:val="6FE868F7"/>
    <w:rsid w:val="6FFF2618"/>
    <w:rsid w:val="7013414A"/>
    <w:rsid w:val="71100B0B"/>
    <w:rsid w:val="71C70D12"/>
    <w:rsid w:val="72055C6C"/>
    <w:rsid w:val="7225310B"/>
    <w:rsid w:val="730350FC"/>
    <w:rsid w:val="733E7825"/>
    <w:rsid w:val="73DF11EA"/>
    <w:rsid w:val="74215C4D"/>
    <w:rsid w:val="74CE1834"/>
    <w:rsid w:val="75095312"/>
    <w:rsid w:val="762046C3"/>
    <w:rsid w:val="765A579D"/>
    <w:rsid w:val="766B7B7A"/>
    <w:rsid w:val="7731799E"/>
    <w:rsid w:val="785802B2"/>
    <w:rsid w:val="78AE3744"/>
    <w:rsid w:val="793F3716"/>
    <w:rsid w:val="79902CB1"/>
    <w:rsid w:val="79BE3BF7"/>
    <w:rsid w:val="79F679A6"/>
    <w:rsid w:val="7B3F7560"/>
    <w:rsid w:val="7BB9446E"/>
    <w:rsid w:val="7C657C92"/>
    <w:rsid w:val="7C750F13"/>
    <w:rsid w:val="7C852788"/>
    <w:rsid w:val="7CC77B1B"/>
    <w:rsid w:val="7DF424B5"/>
    <w:rsid w:val="7E8A2C3D"/>
    <w:rsid w:val="7EEE59F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0" w:semiHidden="0"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22"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qFormat="1" w:uiPriority="99" w:semiHidden="0" w:name="HTML Typewriter" w:locked="1"/>
    <w:lsdException w:qFormat="1" w:uiPriority="99" w:semiHidden="0"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name="Table Web 2" w:locked="1"/>
    <w:lsdException w:unhideWhenUsed="0" w:uiPriority="99" w:name="Table Web 3" w:locked="1"/>
    <w:lsdException w:qFormat="1" w:uiPriority="99" w:semiHidden="0" w:name="Balloon Text" w:locked="1"/>
    <w:lsdException w:qFormat="1" w:unhideWhenUsed="0" w:uiPriority="0" w:semiHidden="0" w:name="Table Grid"/>
    <w:lsdException w:unhideWhenUsed="0"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qFormat/>
    <w:locked/>
    <w:uiPriority w:val="99"/>
    <w:pPr>
      <w:keepNext/>
      <w:keepLines/>
      <w:spacing w:line="578" w:lineRule="auto"/>
      <w:outlineLvl w:val="0"/>
    </w:pPr>
    <w:rPr>
      <w:b/>
      <w:bCs/>
      <w:kern w:val="44"/>
      <w:sz w:val="44"/>
      <w:szCs w:val="44"/>
    </w:rPr>
  </w:style>
  <w:style w:type="paragraph" w:styleId="4">
    <w:name w:val="heading 2"/>
    <w:basedOn w:val="1"/>
    <w:next w:val="1"/>
    <w:qFormat/>
    <w:uiPriority w:val="9"/>
    <w:pPr>
      <w:autoSpaceDE w:val="0"/>
      <w:autoSpaceDN w:val="0"/>
      <w:adjustRightInd w:val="0"/>
      <w:snapToGrid w:val="0"/>
      <w:spacing w:beforeLines="50" w:afterLines="50" w:line="440" w:lineRule="exact"/>
      <w:jc w:val="left"/>
      <w:outlineLvl w:val="1"/>
    </w:pPr>
    <w:rPr>
      <w:rFonts w:ascii="Arial" w:hAnsi="Arial"/>
      <w:b/>
      <w:sz w:val="32"/>
      <w:szCs w:val="20"/>
    </w:rPr>
  </w:style>
  <w:style w:type="paragraph" w:styleId="5">
    <w:name w:val="heading 3"/>
    <w:basedOn w:val="1"/>
    <w:next w:val="1"/>
    <w:link w:val="40"/>
    <w:qFormat/>
    <w:uiPriority w:val="99"/>
    <w:pPr>
      <w:keepNext/>
      <w:keepLines/>
      <w:spacing w:line="413" w:lineRule="auto"/>
      <w:outlineLvl w:val="2"/>
    </w:pPr>
    <w:rPr>
      <w:b/>
      <w:bCs/>
      <w:sz w:val="32"/>
      <w:szCs w:val="32"/>
    </w:rPr>
  </w:style>
  <w:style w:type="paragraph" w:styleId="6">
    <w:name w:val="heading 4"/>
    <w:basedOn w:val="1"/>
    <w:next w:val="1"/>
    <w:link w:val="41"/>
    <w:qFormat/>
    <w:locked/>
    <w:uiPriority w:val="99"/>
    <w:pPr>
      <w:widowControl/>
      <w:spacing w:beforeAutospacing="1" w:afterAutospacing="1"/>
      <w:jc w:val="left"/>
      <w:outlineLvl w:val="3"/>
    </w:pPr>
    <w:rPr>
      <w:rFonts w:ascii="宋体" w:hAnsi="宋体" w:cs="宋体"/>
      <w:b/>
      <w:bCs/>
      <w:kern w:val="0"/>
      <w:sz w:val="24"/>
      <w:szCs w:val="24"/>
    </w:rPr>
  </w:style>
  <w:style w:type="paragraph" w:styleId="7">
    <w:name w:val="heading 5"/>
    <w:basedOn w:val="1"/>
    <w:next w:val="1"/>
    <w:link w:val="42"/>
    <w:qFormat/>
    <w:locked/>
    <w:uiPriority w:val="99"/>
    <w:pPr>
      <w:widowControl/>
      <w:spacing w:beforeAutospacing="1"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99"/>
    <w:rPr>
      <w:rFonts w:ascii="宋体" w:hAnsi="宋体" w:cs="宋体"/>
      <w:sz w:val="28"/>
      <w:szCs w:val="28"/>
    </w:rPr>
  </w:style>
  <w:style w:type="paragraph" w:styleId="10">
    <w:name w:val="Balloon Text"/>
    <w:basedOn w:val="1"/>
    <w:link w:val="53"/>
    <w:unhideWhenUsed/>
    <w:qFormat/>
    <w:locked/>
    <w:uiPriority w:val="99"/>
    <w:rPr>
      <w:sz w:val="18"/>
      <w:szCs w:val="18"/>
    </w:rPr>
  </w:style>
  <w:style w:type="paragraph" w:styleId="11">
    <w:name w:val="Body Text First Indent"/>
    <w:basedOn w:val="2"/>
    <w:qFormat/>
    <w:locked/>
    <w:uiPriority w:val="0"/>
    <w:pPr>
      <w:spacing w:line="360" w:lineRule="auto"/>
      <w:ind w:firstLine="420"/>
    </w:pPr>
    <w:rPr>
      <w:sz w:val="24"/>
    </w:rPr>
  </w:style>
  <w:style w:type="paragraph" w:styleId="12">
    <w:name w:val="Body Text Indent"/>
    <w:basedOn w:val="1"/>
    <w:link w:val="44"/>
    <w:qFormat/>
    <w:uiPriority w:val="99"/>
    <w:pPr>
      <w:ind w:firstLine="568" w:firstLineChars="203"/>
    </w:pPr>
    <w:rPr>
      <w:rFonts w:ascii="宋体" w:hAnsi="宋体" w:cs="宋体"/>
      <w:sz w:val="28"/>
      <w:szCs w:val="28"/>
    </w:rPr>
  </w:style>
  <w:style w:type="paragraph" w:styleId="13">
    <w:name w:val="Body Text First Indent 2"/>
    <w:basedOn w:val="12"/>
    <w:qFormat/>
    <w:locked/>
    <w:uiPriority w:val="0"/>
    <w:pPr>
      <w:ind w:firstLine="420" w:firstLineChars="200"/>
    </w:pPr>
  </w:style>
  <w:style w:type="paragraph" w:styleId="14">
    <w:name w:val="Body Text Indent 2"/>
    <w:basedOn w:val="1"/>
    <w:link w:val="45"/>
    <w:qFormat/>
    <w:uiPriority w:val="99"/>
    <w:pPr>
      <w:spacing w:line="480" w:lineRule="auto"/>
      <w:ind w:left="420" w:leftChars="200"/>
    </w:pPr>
  </w:style>
  <w:style w:type="paragraph" w:styleId="15">
    <w:name w:val="Body Text Indent 3"/>
    <w:basedOn w:val="1"/>
    <w:qFormat/>
    <w:locked/>
    <w:uiPriority w:val="0"/>
    <w:pPr>
      <w:spacing w:after="120"/>
      <w:ind w:left="420" w:leftChars="200"/>
    </w:pPr>
    <w:rPr>
      <w:sz w:val="16"/>
    </w:rPr>
  </w:style>
  <w:style w:type="character" w:styleId="16">
    <w:name w:val="annotation reference"/>
    <w:basedOn w:val="8"/>
    <w:semiHidden/>
    <w:qFormat/>
    <w:uiPriority w:val="99"/>
    <w:rPr>
      <w:sz w:val="21"/>
      <w:szCs w:val="21"/>
    </w:rPr>
  </w:style>
  <w:style w:type="paragraph" w:styleId="17">
    <w:name w:val="annotation text"/>
    <w:basedOn w:val="1"/>
    <w:link w:val="54"/>
    <w:unhideWhenUsed/>
    <w:qFormat/>
    <w:locked/>
    <w:uiPriority w:val="99"/>
    <w:pPr>
      <w:jc w:val="left"/>
    </w:pPr>
  </w:style>
  <w:style w:type="paragraph" w:styleId="18">
    <w:name w:val="annotation subject"/>
    <w:basedOn w:val="17"/>
    <w:next w:val="17"/>
    <w:link w:val="55"/>
    <w:unhideWhenUsed/>
    <w:qFormat/>
    <w:locked/>
    <w:uiPriority w:val="99"/>
    <w:rPr>
      <w:b/>
      <w:bCs/>
    </w:rPr>
  </w:style>
  <w:style w:type="character" w:styleId="19">
    <w:name w:val="Emphasis"/>
    <w:basedOn w:val="8"/>
    <w:qFormat/>
    <w:uiPriority w:val="0"/>
    <w:rPr>
      <w:b/>
      <w:bCs/>
    </w:rPr>
  </w:style>
  <w:style w:type="character" w:styleId="20">
    <w:name w:val="FollowedHyperlink"/>
    <w:basedOn w:val="8"/>
    <w:unhideWhenUsed/>
    <w:qFormat/>
    <w:locked/>
    <w:uiPriority w:val="99"/>
    <w:rPr>
      <w:color w:val="800080"/>
      <w:u w:val="none"/>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character" w:styleId="23">
    <w:name w:val="HTML Acronym"/>
    <w:basedOn w:val="8"/>
    <w:unhideWhenUsed/>
    <w:qFormat/>
    <w:locked/>
    <w:uiPriority w:val="99"/>
  </w:style>
  <w:style w:type="character" w:styleId="24">
    <w:name w:val="HTML Cite"/>
    <w:basedOn w:val="8"/>
    <w:unhideWhenUsed/>
    <w:qFormat/>
    <w:locked/>
    <w:uiPriority w:val="99"/>
  </w:style>
  <w:style w:type="character" w:styleId="25">
    <w:name w:val="HTML Code"/>
    <w:basedOn w:val="8"/>
    <w:unhideWhenUsed/>
    <w:qFormat/>
    <w:locked/>
    <w:uiPriority w:val="99"/>
    <w:rPr>
      <w:rFonts w:hint="default" w:ascii="monospace" w:hAnsi="monospace" w:eastAsia="monospace" w:cs="monospace"/>
      <w:sz w:val="20"/>
    </w:rPr>
  </w:style>
  <w:style w:type="character" w:styleId="26">
    <w:name w:val="HTML Definition"/>
    <w:basedOn w:val="8"/>
    <w:unhideWhenUsed/>
    <w:qFormat/>
    <w:locked/>
    <w:uiPriority w:val="99"/>
  </w:style>
  <w:style w:type="character" w:styleId="27">
    <w:name w:val="HTML Keyboard"/>
    <w:basedOn w:val="8"/>
    <w:unhideWhenUsed/>
    <w:qFormat/>
    <w:locked/>
    <w:uiPriority w:val="99"/>
    <w:rPr>
      <w:rFonts w:ascii="monospace" w:hAnsi="monospace" w:eastAsia="monospace" w:cs="monospace"/>
      <w:sz w:val="20"/>
    </w:rPr>
  </w:style>
  <w:style w:type="character" w:styleId="28">
    <w:name w:val="HTML Sample"/>
    <w:basedOn w:val="8"/>
    <w:unhideWhenUsed/>
    <w:qFormat/>
    <w:locked/>
    <w:uiPriority w:val="99"/>
    <w:rPr>
      <w:rFonts w:hint="default" w:ascii="monospace" w:hAnsi="monospace" w:eastAsia="monospace" w:cs="monospace"/>
    </w:rPr>
  </w:style>
  <w:style w:type="character" w:styleId="29">
    <w:name w:val="HTML Typewriter"/>
    <w:basedOn w:val="8"/>
    <w:unhideWhenUsed/>
    <w:qFormat/>
    <w:locked/>
    <w:uiPriority w:val="99"/>
    <w:rPr>
      <w:rFonts w:hint="default" w:ascii="monospace" w:hAnsi="monospace" w:eastAsia="monospace" w:cs="monospace"/>
      <w:sz w:val="20"/>
    </w:rPr>
  </w:style>
  <w:style w:type="character" w:styleId="30">
    <w:name w:val="HTML Variable"/>
    <w:basedOn w:val="8"/>
    <w:unhideWhenUsed/>
    <w:qFormat/>
    <w:locked/>
    <w:uiPriority w:val="99"/>
  </w:style>
  <w:style w:type="character" w:styleId="31">
    <w:name w:val="Hyperlink"/>
    <w:basedOn w:val="8"/>
    <w:unhideWhenUsed/>
    <w:qFormat/>
    <w:locked/>
    <w:uiPriority w:val="99"/>
    <w:rPr>
      <w:color w:val="0000FF"/>
      <w:u w:val="none"/>
    </w:rPr>
  </w:style>
  <w:style w:type="paragraph" w:styleId="32">
    <w:name w:val="Normal (Web)"/>
    <w:basedOn w:val="1"/>
    <w:unhideWhenUsed/>
    <w:qFormat/>
    <w:locked/>
    <w:uiPriority w:val="99"/>
    <w:pPr>
      <w:widowControl/>
      <w:spacing w:before="100" w:beforeAutospacing="1" w:after="100" w:afterAutospacing="1"/>
      <w:jc w:val="left"/>
    </w:pPr>
    <w:rPr>
      <w:rFonts w:ascii="宋体" w:hAnsi="宋体" w:cs="宋体"/>
      <w:kern w:val="0"/>
      <w:sz w:val="24"/>
      <w:szCs w:val="24"/>
    </w:rPr>
  </w:style>
  <w:style w:type="character" w:styleId="33">
    <w:name w:val="page number"/>
    <w:basedOn w:val="8"/>
    <w:qFormat/>
    <w:uiPriority w:val="99"/>
  </w:style>
  <w:style w:type="character" w:styleId="34">
    <w:name w:val="Strong"/>
    <w:basedOn w:val="8"/>
    <w:qFormat/>
    <w:uiPriority w:val="22"/>
    <w:rPr>
      <w:b/>
      <w:bCs/>
    </w:rPr>
  </w:style>
  <w:style w:type="table" w:styleId="35">
    <w:name w:val="Table Grid"/>
    <w:basedOn w:val="9"/>
    <w:qFormat/>
    <w:uiPriority w:val="0"/>
    <w:pPr>
      <w:widowControl w:val="0"/>
      <w:jc w:val="both"/>
    </w:pPr>
    <w:rPr>
      <w:rFonts w:eastAsia="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itle"/>
    <w:basedOn w:val="1"/>
    <w:next w:val="1"/>
    <w:link w:val="48"/>
    <w:qFormat/>
    <w:uiPriority w:val="99"/>
    <w:pPr>
      <w:widowControl/>
      <w:jc w:val="center"/>
    </w:pPr>
    <w:rPr>
      <w:kern w:val="0"/>
      <w:sz w:val="20"/>
      <w:szCs w:val="20"/>
      <w:u w:val="single"/>
      <w:lang w:eastAsia="en-US"/>
    </w:rPr>
  </w:style>
  <w:style w:type="paragraph" w:styleId="37">
    <w:name w:val="toc 1"/>
    <w:basedOn w:val="1"/>
    <w:next w:val="1"/>
    <w:qFormat/>
    <w:uiPriority w:val="39"/>
  </w:style>
  <w:style w:type="paragraph" w:styleId="38">
    <w:name w:val="toc 2"/>
    <w:basedOn w:val="1"/>
    <w:next w:val="1"/>
    <w:qFormat/>
    <w:uiPriority w:val="39"/>
    <w:pPr>
      <w:ind w:left="420" w:leftChars="200"/>
    </w:pPr>
  </w:style>
  <w:style w:type="character" w:customStyle="1" w:styleId="39">
    <w:name w:val="标题 1 Char"/>
    <w:basedOn w:val="8"/>
    <w:link w:val="3"/>
    <w:qFormat/>
    <w:locked/>
    <w:uiPriority w:val="99"/>
    <w:rPr>
      <w:rFonts w:ascii="Times New Roman" w:hAnsi="Times New Roman" w:cs="Times New Roman"/>
      <w:b/>
      <w:bCs/>
      <w:kern w:val="44"/>
      <w:sz w:val="44"/>
      <w:szCs w:val="44"/>
    </w:rPr>
  </w:style>
  <w:style w:type="character" w:customStyle="1" w:styleId="40">
    <w:name w:val="标题 3 Char"/>
    <w:basedOn w:val="8"/>
    <w:link w:val="5"/>
    <w:semiHidden/>
    <w:qFormat/>
    <w:locked/>
    <w:uiPriority w:val="99"/>
    <w:rPr>
      <w:rFonts w:ascii="Times New Roman" w:hAnsi="Times New Roman" w:cs="Times New Roman"/>
      <w:b/>
      <w:bCs/>
      <w:sz w:val="32"/>
      <w:szCs w:val="32"/>
    </w:rPr>
  </w:style>
  <w:style w:type="character" w:customStyle="1" w:styleId="41">
    <w:name w:val="标题 4 Char"/>
    <w:basedOn w:val="8"/>
    <w:link w:val="6"/>
    <w:semiHidden/>
    <w:qFormat/>
    <w:locked/>
    <w:uiPriority w:val="99"/>
    <w:rPr>
      <w:rFonts w:ascii="Cambria" w:hAnsi="Cambria" w:eastAsia="宋体" w:cs="Cambria"/>
      <w:b/>
      <w:bCs/>
      <w:sz w:val="28"/>
      <w:szCs w:val="28"/>
    </w:rPr>
  </w:style>
  <w:style w:type="character" w:customStyle="1" w:styleId="42">
    <w:name w:val="标题 5 Char"/>
    <w:basedOn w:val="8"/>
    <w:link w:val="7"/>
    <w:semiHidden/>
    <w:qFormat/>
    <w:locked/>
    <w:uiPriority w:val="99"/>
    <w:rPr>
      <w:rFonts w:ascii="Times New Roman" w:hAnsi="Times New Roman" w:cs="Times New Roman"/>
      <w:b/>
      <w:bCs/>
      <w:sz w:val="28"/>
      <w:szCs w:val="28"/>
    </w:rPr>
  </w:style>
  <w:style w:type="character" w:customStyle="1" w:styleId="43">
    <w:name w:val="正文文本 Char"/>
    <w:basedOn w:val="8"/>
    <w:link w:val="2"/>
    <w:semiHidden/>
    <w:qFormat/>
    <w:locked/>
    <w:uiPriority w:val="99"/>
    <w:rPr>
      <w:rFonts w:ascii="Times New Roman" w:hAnsi="Times New Roman" w:cs="Times New Roman"/>
      <w:sz w:val="21"/>
      <w:szCs w:val="21"/>
    </w:rPr>
  </w:style>
  <w:style w:type="character" w:customStyle="1" w:styleId="44">
    <w:name w:val="正文文本缩进 Char"/>
    <w:basedOn w:val="8"/>
    <w:link w:val="12"/>
    <w:semiHidden/>
    <w:qFormat/>
    <w:locked/>
    <w:uiPriority w:val="99"/>
    <w:rPr>
      <w:rFonts w:ascii="Times New Roman" w:hAnsi="Times New Roman" w:cs="Times New Roman"/>
      <w:sz w:val="21"/>
      <w:szCs w:val="21"/>
    </w:rPr>
  </w:style>
  <w:style w:type="character" w:customStyle="1" w:styleId="45">
    <w:name w:val="正文文本缩进 2 Char"/>
    <w:basedOn w:val="8"/>
    <w:link w:val="14"/>
    <w:semiHidden/>
    <w:qFormat/>
    <w:locked/>
    <w:uiPriority w:val="99"/>
    <w:rPr>
      <w:rFonts w:ascii="Times New Roman" w:hAnsi="Times New Roman" w:cs="Times New Roman"/>
      <w:sz w:val="21"/>
      <w:szCs w:val="21"/>
    </w:rPr>
  </w:style>
  <w:style w:type="character" w:customStyle="1" w:styleId="46">
    <w:name w:val="页脚 Char"/>
    <w:basedOn w:val="8"/>
    <w:link w:val="21"/>
    <w:qFormat/>
    <w:locked/>
    <w:uiPriority w:val="99"/>
    <w:rPr>
      <w:rFonts w:ascii="Times New Roman" w:hAnsi="Times New Roman" w:cs="Times New Roman"/>
      <w:sz w:val="18"/>
      <w:szCs w:val="18"/>
    </w:rPr>
  </w:style>
  <w:style w:type="character" w:customStyle="1" w:styleId="47">
    <w:name w:val="页眉 Char"/>
    <w:basedOn w:val="8"/>
    <w:link w:val="22"/>
    <w:semiHidden/>
    <w:qFormat/>
    <w:locked/>
    <w:uiPriority w:val="99"/>
    <w:rPr>
      <w:rFonts w:ascii="Times New Roman" w:hAnsi="Times New Roman" w:cs="Times New Roman"/>
      <w:sz w:val="18"/>
      <w:szCs w:val="18"/>
    </w:rPr>
  </w:style>
  <w:style w:type="character" w:customStyle="1" w:styleId="48">
    <w:name w:val="标题 Char"/>
    <w:basedOn w:val="8"/>
    <w:link w:val="36"/>
    <w:qFormat/>
    <w:locked/>
    <w:uiPriority w:val="99"/>
    <w:rPr>
      <w:rFonts w:ascii="Cambria" w:hAnsi="Cambria" w:cs="Cambria"/>
      <w:b/>
      <w:bCs/>
      <w:sz w:val="32"/>
      <w:szCs w:val="32"/>
    </w:rPr>
  </w:style>
  <w:style w:type="paragraph" w:customStyle="1" w:styleId="49">
    <w:name w:val="WPSOffice手动目录 1"/>
    <w:qFormat/>
    <w:uiPriority w:val="99"/>
    <w:rPr>
      <w:rFonts w:ascii="Times New Roman" w:hAnsi="Times New Roman" w:eastAsia="宋体" w:cs="Times New Roman"/>
      <w:lang w:val="en-US" w:eastAsia="zh-CN" w:bidi="ar-SA"/>
    </w:rPr>
  </w:style>
  <w:style w:type="paragraph" w:customStyle="1" w:styleId="50">
    <w:name w:val="附件标题-1"/>
    <w:basedOn w:val="1"/>
    <w:qFormat/>
    <w:uiPriority w:val="99"/>
    <w:pPr>
      <w:spacing w:beforeLines="50" w:afterLines="50"/>
      <w:jc w:val="center"/>
    </w:pPr>
    <w:rPr>
      <w:rFonts w:eastAsia="黑体"/>
      <w:sz w:val="32"/>
      <w:szCs w:val="32"/>
    </w:rPr>
  </w:style>
  <w:style w:type="paragraph" w:customStyle="1" w:styleId="51">
    <w:name w:val="TOC 标题1"/>
    <w:basedOn w:val="3"/>
    <w:next w:val="1"/>
    <w:qFormat/>
    <w:uiPriority w:val="99"/>
    <w:pPr>
      <w:widowControl/>
      <w:spacing w:before="480" w:line="276" w:lineRule="auto"/>
      <w:jc w:val="left"/>
      <w:outlineLvl w:val="9"/>
    </w:pPr>
    <w:rPr>
      <w:rFonts w:ascii="Cambria" w:hAnsi="Cambria" w:cs="Cambria"/>
      <w:color w:val="365F91"/>
      <w:kern w:val="0"/>
      <w:sz w:val="28"/>
      <w:szCs w:val="28"/>
    </w:rPr>
  </w:style>
  <w:style w:type="paragraph" w:customStyle="1" w:styleId="52">
    <w:name w:val="列出段落11"/>
    <w:basedOn w:val="1"/>
    <w:qFormat/>
    <w:uiPriority w:val="99"/>
    <w:pPr>
      <w:ind w:firstLine="420" w:firstLineChars="200"/>
    </w:pPr>
    <w:rPr>
      <w:sz w:val="28"/>
      <w:szCs w:val="28"/>
    </w:rPr>
  </w:style>
  <w:style w:type="character" w:customStyle="1" w:styleId="53">
    <w:name w:val="批注框文本 Char"/>
    <w:basedOn w:val="8"/>
    <w:link w:val="10"/>
    <w:semiHidden/>
    <w:qFormat/>
    <w:uiPriority w:val="99"/>
    <w:rPr>
      <w:kern w:val="2"/>
      <w:sz w:val="18"/>
      <w:szCs w:val="18"/>
    </w:rPr>
  </w:style>
  <w:style w:type="character" w:customStyle="1" w:styleId="54">
    <w:name w:val="批注文字 Char"/>
    <w:basedOn w:val="8"/>
    <w:link w:val="17"/>
    <w:qFormat/>
    <w:uiPriority w:val="99"/>
    <w:rPr>
      <w:kern w:val="2"/>
      <w:sz w:val="21"/>
      <w:szCs w:val="21"/>
    </w:rPr>
  </w:style>
  <w:style w:type="character" w:customStyle="1" w:styleId="55">
    <w:name w:val="批注主题 Char"/>
    <w:basedOn w:val="54"/>
    <w:link w:val="18"/>
    <w:semiHidden/>
    <w:qFormat/>
    <w:uiPriority w:val="99"/>
    <w:rPr>
      <w:b/>
      <w:bCs/>
      <w:kern w:val="2"/>
      <w:sz w:val="21"/>
      <w:szCs w:val="21"/>
    </w:rPr>
  </w:style>
  <w:style w:type="paragraph" w:customStyle="1" w:styleId="56">
    <w:name w:val="修订1"/>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BDB3A-37C3-43F7-A819-5FEE4C84E7A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15436</Words>
  <Characters>16038</Characters>
  <Lines>126</Lines>
  <Paragraphs>35</Paragraphs>
  <TotalTime>1</TotalTime>
  <ScaleCrop>false</ScaleCrop>
  <LinksUpToDate>false</LinksUpToDate>
  <CharactersWithSpaces>16830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2024-01-19T03:01:00Z</dcterms:created>
  <dc:creator>Administrator</dc:creator>
  <cp:lastModifiedBy>NTKO</cp:lastModifiedBy>
  <cp:lastPrinted>2022-12-05T01:22:00Z</cp:lastPrinted>
  <dcterms:modified xsi:type="dcterms:W3CDTF">2024-02-07T06:40:46Z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0-11.8.2.12195</vt:lpwstr>
  </property>
  <property fmtid="{D5CDD505-2E9C-101B-9397-08002B2CF9AE}" pid="3" name="ICV">
    <vt:lpwstr>3771E41BEB434943AFC6C4FA52E06E04_13</vt:lpwstr>
  </property>
</Properties>
</file>