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line="480" w:lineRule="auto"/>
        <w:rPr>
          <w:rFonts w:hint="eastAsia" w:ascii="宋体" w:hAnsi="宋体" w:eastAsia="宋体"/>
          <w:b/>
          <w:sz w:val="28"/>
          <w:lang w:val="en-US" w:eastAsia="zh-CN"/>
        </w:rPr>
      </w:pPr>
      <w:r>
        <w:rPr>
          <w:rFonts w:hint="eastAsia" w:ascii="宋体" w:hAnsi="宋体"/>
          <w:b/>
          <w:sz w:val="28"/>
        </w:rPr>
        <w:t>项目名称：补充医疗保险项目</w:t>
      </w:r>
      <w:r>
        <w:rPr>
          <w:rFonts w:hint="eastAsia" w:ascii="宋体" w:hAnsi="宋体"/>
          <w:b/>
          <w:sz w:val="28"/>
          <w:lang w:val="en-US" w:eastAsia="zh-CN"/>
        </w:rPr>
        <w:t>(第二次）</w:t>
      </w:r>
    </w:p>
    <w:p>
      <w:pPr>
        <w:autoSpaceDE w:val="0"/>
        <w:autoSpaceDN w:val="0"/>
        <w:adjustRightInd w:val="0"/>
        <w:snapToGrid w:val="0"/>
        <w:spacing w:after="156" w:afterLines="50" w:line="480" w:lineRule="auto"/>
        <w:jc w:val="left"/>
        <w:rPr>
          <w:rFonts w:ascii="宋体" w:hAnsi="宋体"/>
          <w:kern w:val="0"/>
          <w:sz w:val="6"/>
          <w:szCs w:val="20"/>
        </w:rPr>
      </w:pPr>
    </w:p>
    <w:p>
      <w:pPr>
        <w:pStyle w:val="2"/>
      </w:pPr>
    </w:p>
    <w:p>
      <w:pPr>
        <w:autoSpaceDE w:val="0"/>
        <w:autoSpaceDN w:val="0"/>
        <w:adjustRightInd w:val="0"/>
        <w:snapToGrid w:val="0"/>
        <w:spacing w:after="156" w:afterLines="50" w:line="480" w:lineRule="auto"/>
        <w:jc w:val="left"/>
        <w:rPr>
          <w:rFonts w:ascii="宋体" w:hAnsi="宋体"/>
          <w:kern w:val="0"/>
          <w:sz w:val="6"/>
          <w:szCs w:val="20"/>
        </w:rPr>
      </w:pPr>
    </w:p>
    <w:p>
      <w:pPr>
        <w:autoSpaceDE w:val="0"/>
        <w:autoSpaceDN w:val="0"/>
        <w:adjustRightInd w:val="0"/>
        <w:snapToGrid w:val="0"/>
        <w:spacing w:after="156" w:afterLines="50" w:line="480" w:lineRule="auto"/>
        <w:jc w:val="left"/>
        <w:rPr>
          <w:rFonts w:ascii="宋体" w:hAnsi="宋体"/>
          <w:kern w:val="0"/>
          <w:sz w:val="6"/>
          <w:szCs w:val="20"/>
        </w:rPr>
      </w:pPr>
    </w:p>
    <w:p>
      <w:pPr>
        <w:spacing w:after="156" w:afterLines="50" w:line="480" w:lineRule="auto"/>
        <w:jc w:val="center"/>
        <w:rPr>
          <w:rFonts w:ascii="宋体" w:hAnsi="宋体"/>
          <w:b/>
          <w:sz w:val="28"/>
          <w:szCs w:val="28"/>
        </w:rPr>
      </w:pPr>
      <w:r>
        <w:rPr>
          <w:rFonts w:ascii="宋体" w:hAnsi="宋体"/>
          <w:b/>
          <w:kern w:val="0"/>
          <w:sz w:val="84"/>
          <w:szCs w:val="44"/>
        </w:rPr>
        <w:t>比</w:t>
      </w:r>
      <w:r>
        <w:rPr>
          <w:rFonts w:hint="eastAsia" w:ascii="宋体" w:hAnsi="宋体"/>
          <w:b/>
          <w:kern w:val="0"/>
          <w:sz w:val="84"/>
          <w:szCs w:val="44"/>
        </w:rPr>
        <w:t xml:space="preserve">  </w:t>
      </w:r>
      <w:r>
        <w:rPr>
          <w:rFonts w:ascii="宋体" w:hAnsi="宋体"/>
          <w:b/>
          <w:kern w:val="0"/>
          <w:sz w:val="84"/>
          <w:szCs w:val="44"/>
        </w:rPr>
        <w:t>选  文  件</w:t>
      </w:r>
    </w:p>
    <w:p>
      <w:pPr>
        <w:snapToGrid w:val="0"/>
        <w:spacing w:after="156" w:afterLines="50" w:line="480" w:lineRule="auto"/>
        <w:rPr>
          <w:rFonts w:ascii="宋体" w:hAnsi="宋体"/>
          <w:sz w:val="8"/>
          <w:szCs w:val="21"/>
        </w:rPr>
      </w:pPr>
    </w:p>
    <w:p>
      <w:pPr>
        <w:snapToGrid w:val="0"/>
        <w:spacing w:after="156" w:afterLines="50" w:line="480" w:lineRule="auto"/>
        <w:rPr>
          <w:rFonts w:ascii="宋体" w:hAnsi="宋体"/>
          <w:sz w:val="8"/>
          <w:szCs w:val="21"/>
        </w:rPr>
      </w:pPr>
    </w:p>
    <w:p>
      <w:pPr>
        <w:snapToGrid w:val="0"/>
        <w:spacing w:after="156" w:afterLines="50" w:line="480" w:lineRule="auto"/>
        <w:rPr>
          <w:rFonts w:ascii="宋体" w:hAnsi="宋体"/>
          <w:sz w:val="8"/>
          <w:szCs w:val="21"/>
        </w:rPr>
      </w:pPr>
    </w:p>
    <w:p>
      <w:pPr>
        <w:snapToGrid w:val="0"/>
        <w:spacing w:after="156" w:afterLines="50" w:line="480" w:lineRule="auto"/>
        <w:rPr>
          <w:rFonts w:ascii="宋体" w:hAnsi="宋体"/>
          <w:sz w:val="8"/>
          <w:szCs w:val="21"/>
        </w:rPr>
      </w:pPr>
    </w:p>
    <w:p>
      <w:pPr>
        <w:snapToGrid w:val="0"/>
        <w:spacing w:after="156" w:afterLines="50" w:line="480" w:lineRule="auto"/>
        <w:rPr>
          <w:rFonts w:ascii="宋体" w:hAnsi="宋体"/>
          <w:sz w:val="8"/>
          <w:szCs w:val="21"/>
        </w:rPr>
      </w:pPr>
    </w:p>
    <w:p>
      <w:pPr>
        <w:snapToGrid w:val="0"/>
        <w:spacing w:after="156" w:afterLines="50" w:line="480" w:lineRule="auto"/>
        <w:rPr>
          <w:rFonts w:ascii="宋体" w:hAnsi="宋体"/>
          <w:sz w:val="8"/>
          <w:szCs w:val="21"/>
        </w:rPr>
      </w:pPr>
    </w:p>
    <w:p>
      <w:pPr>
        <w:autoSpaceDE w:val="0"/>
        <w:autoSpaceDN w:val="0"/>
        <w:adjustRightInd w:val="0"/>
        <w:snapToGrid w:val="0"/>
        <w:spacing w:after="156" w:afterLines="50" w:line="480" w:lineRule="auto"/>
        <w:jc w:val="left"/>
        <w:rPr>
          <w:rFonts w:ascii="宋体" w:hAnsi="宋体"/>
          <w:b/>
          <w:kern w:val="0"/>
          <w:sz w:val="30"/>
          <w:szCs w:val="30"/>
        </w:rPr>
      </w:pPr>
    </w:p>
    <w:p>
      <w:pPr>
        <w:spacing w:line="360" w:lineRule="auto"/>
        <w:jc w:val="center"/>
        <w:rPr>
          <w:rFonts w:ascii="宋体" w:hAnsi="宋体"/>
          <w:b/>
          <w:sz w:val="28"/>
          <w:szCs w:val="28"/>
        </w:rPr>
      </w:pPr>
    </w:p>
    <w:p>
      <w:pPr>
        <w:snapToGrid w:val="0"/>
        <w:spacing w:after="156" w:afterLines="50" w:line="480" w:lineRule="auto"/>
        <w:jc w:val="right"/>
        <w:rPr>
          <w:rFonts w:ascii="宋体" w:hAnsi="宋体"/>
          <w:b/>
          <w:sz w:val="30"/>
          <w:szCs w:val="30"/>
        </w:rPr>
      </w:pPr>
    </w:p>
    <w:p>
      <w:pPr>
        <w:snapToGrid w:val="0"/>
        <w:spacing w:after="156" w:afterLines="50" w:line="480" w:lineRule="auto"/>
        <w:rPr>
          <w:rFonts w:ascii="宋体" w:hAnsi="宋体"/>
          <w:sz w:val="8"/>
          <w:szCs w:val="21"/>
        </w:rPr>
      </w:pPr>
    </w:p>
    <w:p>
      <w:pPr>
        <w:pStyle w:val="6"/>
      </w:pPr>
    </w:p>
    <w:p>
      <w:pPr>
        <w:snapToGrid w:val="0"/>
        <w:spacing w:after="156" w:afterLines="50" w:line="480" w:lineRule="auto"/>
        <w:rPr>
          <w:rFonts w:ascii="宋体" w:hAnsi="宋体"/>
          <w:sz w:val="8"/>
          <w:szCs w:val="21"/>
        </w:rPr>
      </w:pPr>
    </w:p>
    <w:p>
      <w:pPr>
        <w:snapToGrid w:val="0"/>
        <w:spacing w:after="156" w:afterLines="50" w:line="480" w:lineRule="auto"/>
        <w:rPr>
          <w:rFonts w:ascii="宋体" w:hAnsi="宋体"/>
          <w:sz w:val="8"/>
          <w:szCs w:val="21"/>
        </w:rPr>
      </w:pPr>
    </w:p>
    <w:p>
      <w:pPr>
        <w:tabs>
          <w:tab w:val="left" w:pos="6252"/>
        </w:tabs>
        <w:autoSpaceDE w:val="0"/>
        <w:autoSpaceDN w:val="0"/>
        <w:adjustRightInd w:val="0"/>
        <w:snapToGrid w:val="0"/>
        <w:spacing w:line="480" w:lineRule="auto"/>
        <w:rPr>
          <w:rFonts w:ascii="宋体" w:hAnsi="宋体"/>
          <w:b/>
          <w:spacing w:val="8"/>
          <w:sz w:val="30"/>
          <w:szCs w:val="30"/>
        </w:rPr>
      </w:pPr>
    </w:p>
    <w:p>
      <w:pPr>
        <w:tabs>
          <w:tab w:val="left" w:pos="6252"/>
        </w:tabs>
        <w:autoSpaceDE w:val="0"/>
        <w:autoSpaceDN w:val="0"/>
        <w:adjustRightInd w:val="0"/>
        <w:snapToGrid w:val="0"/>
        <w:spacing w:line="480" w:lineRule="auto"/>
        <w:rPr>
          <w:rFonts w:ascii="宋体" w:hAnsi="宋体"/>
          <w:b/>
          <w:spacing w:val="8"/>
          <w:sz w:val="30"/>
          <w:szCs w:val="30"/>
        </w:rPr>
      </w:pPr>
      <w:r>
        <w:rPr>
          <w:rFonts w:hint="eastAsia" w:ascii="宋体" w:hAnsi="宋体"/>
          <w:b/>
          <w:spacing w:val="8"/>
          <w:sz w:val="30"/>
          <w:szCs w:val="30"/>
        </w:rPr>
        <w:t>比</w:t>
      </w:r>
      <w:r>
        <w:rPr>
          <w:rFonts w:ascii="宋体" w:hAnsi="宋体"/>
          <w:b/>
          <w:spacing w:val="8"/>
          <w:sz w:val="30"/>
          <w:szCs w:val="30"/>
        </w:rPr>
        <w:t xml:space="preserve">   </w:t>
      </w:r>
      <w:r>
        <w:rPr>
          <w:rFonts w:hint="eastAsia" w:ascii="宋体" w:hAnsi="宋体"/>
          <w:b/>
          <w:spacing w:val="8"/>
          <w:sz w:val="30"/>
          <w:szCs w:val="30"/>
        </w:rPr>
        <w:t>选</w:t>
      </w:r>
      <w:r>
        <w:rPr>
          <w:rFonts w:ascii="宋体" w:hAnsi="宋体"/>
          <w:b/>
          <w:spacing w:val="8"/>
          <w:sz w:val="30"/>
          <w:szCs w:val="30"/>
        </w:rPr>
        <w:t xml:space="preserve">   人：</w:t>
      </w:r>
      <w:r>
        <w:rPr>
          <w:rFonts w:hint="eastAsia" w:ascii="宋体" w:hAnsi="宋体"/>
          <w:b/>
          <w:spacing w:val="8"/>
          <w:sz w:val="30"/>
          <w:szCs w:val="30"/>
          <w:u w:val="thick"/>
        </w:rPr>
        <w:t>重庆市上桥粮食中转库有限责任公司</w:t>
      </w:r>
      <w:r>
        <w:rPr>
          <w:rFonts w:hint="eastAsia" w:ascii="宋体" w:hAnsi="宋体"/>
          <w:b/>
          <w:spacing w:val="8"/>
          <w:sz w:val="30"/>
          <w:szCs w:val="30"/>
        </w:rPr>
        <w:t>（盖单位公章）</w:t>
      </w:r>
    </w:p>
    <w:p>
      <w:pPr>
        <w:jc w:val="center"/>
        <w:rPr>
          <w:rFonts w:ascii="宋体" w:hAnsi="宋体"/>
          <w:b/>
          <w:spacing w:val="8"/>
          <w:sz w:val="30"/>
          <w:szCs w:val="30"/>
        </w:rPr>
        <w:sectPr>
          <w:headerReference r:id="rId3" w:type="default"/>
          <w:footerReference r:id="rId4" w:type="default"/>
          <w:pgSz w:w="11906" w:h="16838"/>
          <w:pgMar w:top="1134" w:right="1134" w:bottom="1134" w:left="1134" w:header="851" w:footer="992" w:gutter="0"/>
          <w:cols w:space="425" w:num="1"/>
          <w:titlePg/>
          <w:docGrid w:type="lines" w:linePitch="312" w:charSpace="0"/>
        </w:sectPr>
      </w:pPr>
      <w:r>
        <w:rPr>
          <w:rFonts w:hint="eastAsia" w:ascii="Times New Roman" w:hAnsi="Times New Roman"/>
          <w:b/>
          <w:spacing w:val="8"/>
          <w:sz w:val="30"/>
          <w:szCs w:val="30"/>
        </w:rPr>
        <w:t>2</w:t>
      </w:r>
      <w:r>
        <w:rPr>
          <w:rFonts w:ascii="Times New Roman" w:hAnsi="Times New Roman"/>
          <w:b/>
          <w:spacing w:val="8"/>
          <w:sz w:val="30"/>
          <w:szCs w:val="30"/>
        </w:rPr>
        <w:t>0</w:t>
      </w:r>
      <w:r>
        <w:rPr>
          <w:rFonts w:hint="eastAsia" w:ascii="Times New Roman" w:hAnsi="Times New Roman"/>
          <w:b/>
          <w:spacing w:val="8"/>
          <w:sz w:val="30"/>
          <w:szCs w:val="30"/>
        </w:rPr>
        <w:t>24</w:t>
      </w:r>
      <w:r>
        <w:rPr>
          <w:rFonts w:hint="eastAsia" w:ascii="宋体" w:hAnsi="宋体"/>
          <w:b/>
          <w:spacing w:val="8"/>
          <w:sz w:val="30"/>
          <w:szCs w:val="30"/>
        </w:rPr>
        <w:t>年1月</w:t>
      </w:r>
    </w:p>
    <w:p>
      <w:pPr>
        <w:snapToGrid w:val="0"/>
        <w:spacing w:after="156" w:afterLines="50" w:line="480" w:lineRule="auto"/>
        <w:jc w:val="center"/>
        <w:rPr>
          <w:rFonts w:ascii="宋体" w:hAnsi="宋体"/>
          <w:b/>
          <w:bCs/>
          <w:sz w:val="28"/>
          <w:szCs w:val="28"/>
        </w:rPr>
      </w:pPr>
      <w:r>
        <w:rPr>
          <w:rFonts w:ascii="宋体" w:hAnsi="宋体"/>
          <w:b/>
          <w:bCs/>
          <w:sz w:val="28"/>
          <w:szCs w:val="28"/>
        </w:rPr>
        <w:t>目   录</w:t>
      </w:r>
    </w:p>
    <w:p>
      <w:pPr>
        <w:pStyle w:val="13"/>
        <w:tabs>
          <w:tab w:val="right" w:leader="dot" w:pos="9628"/>
        </w:tabs>
        <w:spacing w:line="360" w:lineRule="auto"/>
        <w:rPr>
          <w:rFonts w:asciiTheme="minorHAnsi" w:hAnsiTheme="minorHAnsi" w:eastAsiaTheme="minorEastAsia" w:cstheme="minorBidi"/>
        </w:rPr>
      </w:pPr>
      <w:r>
        <w:rPr>
          <w:rFonts w:ascii="宋体" w:hAnsi="宋体"/>
        </w:rPr>
        <w:fldChar w:fldCharType="begin"/>
      </w:r>
      <w:r>
        <w:rPr>
          <w:rFonts w:ascii="宋体" w:hAnsi="宋体"/>
        </w:rPr>
        <w:instrText xml:space="preserve"> TOC \o "1-3" \h \z \u </w:instrText>
      </w:r>
      <w:r>
        <w:rPr>
          <w:rFonts w:ascii="宋体" w:hAnsi="宋体"/>
        </w:rPr>
        <w:fldChar w:fldCharType="separate"/>
      </w:r>
      <w:r>
        <w:fldChar w:fldCharType="begin"/>
      </w:r>
      <w:r>
        <w:instrText xml:space="preserve"> HYPERLINK \l "_Toc16196566" </w:instrText>
      </w:r>
      <w:r>
        <w:fldChar w:fldCharType="separate"/>
      </w:r>
      <w:r>
        <w:rPr>
          <w:rStyle w:val="25"/>
          <w:rFonts w:ascii="宋体" w:hAnsi="宋体"/>
          <w:color w:val="auto"/>
        </w:rPr>
        <w:t xml:space="preserve">第一章  </w:t>
      </w:r>
      <w:r>
        <w:rPr>
          <w:rStyle w:val="25"/>
          <w:rFonts w:hint="eastAsia" w:ascii="宋体" w:hAnsi="宋体"/>
          <w:color w:val="auto"/>
        </w:rPr>
        <w:t>比选公告</w:t>
      </w:r>
      <w:r>
        <w:tab/>
      </w:r>
      <w:r>
        <w:fldChar w:fldCharType="begin"/>
      </w:r>
      <w:r>
        <w:instrText xml:space="preserve"> PAGEREF _Toc16196566 \h </w:instrText>
      </w:r>
      <w:r>
        <w:fldChar w:fldCharType="separate"/>
      </w:r>
      <w:r>
        <w:t>3</w:t>
      </w:r>
      <w:r>
        <w:fldChar w:fldCharType="end"/>
      </w:r>
      <w:r>
        <w:fldChar w:fldCharType="end"/>
      </w:r>
    </w:p>
    <w:p>
      <w:pPr>
        <w:pStyle w:val="13"/>
        <w:tabs>
          <w:tab w:val="right" w:leader="dot" w:pos="9628"/>
        </w:tabs>
        <w:spacing w:line="360" w:lineRule="auto"/>
        <w:rPr>
          <w:rFonts w:asciiTheme="minorHAnsi" w:hAnsiTheme="minorHAnsi" w:eastAsiaTheme="minorEastAsia" w:cstheme="minorBidi"/>
        </w:rPr>
      </w:pPr>
      <w:r>
        <w:fldChar w:fldCharType="begin"/>
      </w:r>
      <w:r>
        <w:instrText xml:space="preserve"> HYPERLINK \l "_Toc16196567" </w:instrText>
      </w:r>
      <w:r>
        <w:fldChar w:fldCharType="separate"/>
      </w:r>
      <w:r>
        <w:rPr>
          <w:rStyle w:val="25"/>
          <w:rFonts w:ascii="宋体" w:hAnsi="宋体"/>
          <w:color w:val="auto"/>
        </w:rPr>
        <w:t>第二章  应选人须知</w:t>
      </w:r>
      <w:r>
        <w:tab/>
      </w:r>
      <w:r>
        <w:fldChar w:fldCharType="end"/>
      </w:r>
      <w:r>
        <w:rPr>
          <w:rFonts w:hint="eastAsia" w:ascii="Times New Roman" w:hAnsi="Times New Roman"/>
        </w:rPr>
        <w:t>3</w:t>
      </w:r>
    </w:p>
    <w:p>
      <w:pPr>
        <w:pStyle w:val="13"/>
        <w:tabs>
          <w:tab w:val="right" w:leader="dot" w:pos="9628"/>
        </w:tabs>
        <w:spacing w:line="360" w:lineRule="auto"/>
        <w:rPr>
          <w:rFonts w:asciiTheme="minorHAnsi" w:hAnsiTheme="minorHAnsi" w:eastAsiaTheme="minorEastAsia" w:cstheme="minorBidi"/>
        </w:rPr>
      </w:pPr>
      <w:r>
        <w:fldChar w:fldCharType="begin"/>
      </w:r>
      <w:r>
        <w:instrText xml:space="preserve"> HYPERLINK \l "_Toc16196568" </w:instrText>
      </w:r>
      <w:r>
        <w:fldChar w:fldCharType="separate"/>
      </w:r>
      <w:r>
        <w:rPr>
          <w:rStyle w:val="25"/>
          <w:rFonts w:ascii="宋体" w:hAnsi="宋体"/>
          <w:color w:val="auto"/>
        </w:rPr>
        <w:t xml:space="preserve">第三章  </w:t>
      </w:r>
      <w:r>
        <w:rPr>
          <w:rStyle w:val="25"/>
          <w:rFonts w:hint="eastAsia" w:ascii="宋体" w:hAnsi="宋体"/>
          <w:color w:val="auto"/>
        </w:rPr>
        <w:t>评选</w:t>
      </w:r>
      <w:r>
        <w:rPr>
          <w:rStyle w:val="25"/>
          <w:rFonts w:ascii="宋体" w:hAnsi="宋体"/>
          <w:color w:val="auto"/>
        </w:rPr>
        <w:t>办法</w:t>
      </w:r>
      <w:r>
        <w:tab/>
      </w:r>
      <w:r>
        <w:fldChar w:fldCharType="end"/>
      </w:r>
      <w:r>
        <w:rPr>
          <w:rFonts w:hint="eastAsia" w:ascii="Times New Roman" w:hAnsi="Times New Roman"/>
        </w:rPr>
        <w:t>6</w:t>
      </w:r>
    </w:p>
    <w:p>
      <w:pPr>
        <w:pStyle w:val="13"/>
        <w:tabs>
          <w:tab w:val="right" w:leader="dot" w:pos="9628"/>
        </w:tabs>
        <w:spacing w:line="360" w:lineRule="auto"/>
        <w:rPr>
          <w:rFonts w:asciiTheme="minorHAnsi" w:hAnsiTheme="minorHAnsi" w:eastAsiaTheme="minorEastAsia" w:cstheme="minorBidi"/>
        </w:rPr>
      </w:pPr>
      <w:r>
        <w:fldChar w:fldCharType="begin"/>
      </w:r>
      <w:r>
        <w:instrText xml:space="preserve"> HYPERLINK \l "_Toc16196573" </w:instrText>
      </w:r>
      <w:r>
        <w:fldChar w:fldCharType="separate"/>
      </w:r>
      <w:r>
        <w:rPr>
          <w:rStyle w:val="25"/>
          <w:rFonts w:ascii="宋体" w:hAnsi="宋体"/>
          <w:color w:val="auto"/>
        </w:rPr>
        <w:t>第</w:t>
      </w:r>
      <w:r>
        <w:rPr>
          <w:rStyle w:val="25"/>
          <w:rFonts w:hint="eastAsia" w:ascii="宋体" w:hAnsi="宋体"/>
          <w:color w:val="auto"/>
        </w:rPr>
        <w:t>四</w:t>
      </w:r>
      <w:r>
        <w:rPr>
          <w:rStyle w:val="25"/>
          <w:rFonts w:ascii="宋体" w:hAnsi="宋体"/>
          <w:color w:val="auto"/>
        </w:rPr>
        <w:t xml:space="preserve">章  </w:t>
      </w:r>
      <w:r>
        <w:rPr>
          <w:rStyle w:val="25"/>
          <w:rFonts w:hint="eastAsia" w:ascii="宋体" w:hAnsi="宋体"/>
          <w:color w:val="auto"/>
        </w:rPr>
        <w:t>合同格式</w:t>
      </w:r>
      <w:r>
        <w:tab/>
      </w:r>
      <w:r>
        <w:fldChar w:fldCharType="end"/>
      </w:r>
      <w:r>
        <w:rPr>
          <w:rFonts w:hint="eastAsia" w:ascii="Times New Roman" w:hAnsi="Times New Roman"/>
        </w:rPr>
        <w:t>7</w:t>
      </w:r>
    </w:p>
    <w:p>
      <w:pPr>
        <w:pStyle w:val="13"/>
        <w:tabs>
          <w:tab w:val="right" w:leader="dot" w:pos="9628"/>
        </w:tabs>
        <w:spacing w:line="360" w:lineRule="auto"/>
        <w:rPr>
          <w:rFonts w:asciiTheme="minorHAnsi" w:hAnsiTheme="minorHAnsi" w:cstheme="minorBidi"/>
        </w:rPr>
      </w:pPr>
      <w:r>
        <w:fldChar w:fldCharType="begin"/>
      </w:r>
      <w:r>
        <w:instrText xml:space="preserve"> HYPERLINK \l "_Toc16196573" </w:instrText>
      </w:r>
      <w:r>
        <w:fldChar w:fldCharType="separate"/>
      </w:r>
      <w:r>
        <w:rPr>
          <w:rStyle w:val="25"/>
          <w:rFonts w:ascii="宋体" w:hAnsi="宋体"/>
          <w:color w:val="auto"/>
        </w:rPr>
        <w:t>第</w:t>
      </w:r>
      <w:r>
        <w:rPr>
          <w:rStyle w:val="25"/>
          <w:rFonts w:hint="eastAsia" w:ascii="宋体" w:hAnsi="宋体"/>
          <w:color w:val="auto"/>
        </w:rPr>
        <w:t>五</w:t>
      </w:r>
      <w:r>
        <w:rPr>
          <w:rStyle w:val="25"/>
          <w:rFonts w:ascii="宋体" w:hAnsi="宋体"/>
          <w:color w:val="auto"/>
        </w:rPr>
        <w:t>章  应选文件格式</w:t>
      </w:r>
      <w:r>
        <w:tab/>
      </w:r>
      <w:r>
        <w:rPr>
          <w:rFonts w:hint="eastAsia" w:ascii="Times New Roman" w:hAnsi="Times New Roman"/>
        </w:rPr>
        <w:t>1</w:t>
      </w:r>
      <w:r>
        <w:rPr>
          <w:rFonts w:hint="eastAsia" w:ascii="Times New Roman" w:hAnsi="Times New Roman"/>
        </w:rPr>
        <w:fldChar w:fldCharType="end"/>
      </w:r>
      <w:r>
        <w:rPr>
          <w:rFonts w:hint="eastAsia"/>
        </w:rPr>
        <w:t>1</w:t>
      </w:r>
    </w:p>
    <w:p>
      <w:pPr>
        <w:pStyle w:val="13"/>
        <w:tabs>
          <w:tab w:val="right" w:leader="dot" w:pos="9628"/>
        </w:tabs>
        <w:spacing w:line="360" w:lineRule="auto"/>
        <w:rPr>
          <w:rFonts w:asciiTheme="minorHAnsi" w:hAnsiTheme="minorHAnsi" w:eastAsiaTheme="minorEastAsia" w:cstheme="minorBidi"/>
        </w:rPr>
      </w:pPr>
      <w:r>
        <w:fldChar w:fldCharType="begin"/>
      </w:r>
      <w:r>
        <w:instrText xml:space="preserve"> HYPERLINK \l "_Toc16196588" </w:instrText>
      </w:r>
      <w:r>
        <w:fldChar w:fldCharType="separate"/>
      </w:r>
      <w:r>
        <w:fldChar w:fldCharType="end"/>
      </w:r>
    </w:p>
    <w:p>
      <w:pPr>
        <w:spacing w:line="360" w:lineRule="auto"/>
        <w:rPr>
          <w:rFonts w:ascii="宋体" w:hAnsi="宋体"/>
        </w:rPr>
      </w:pPr>
      <w:r>
        <w:rPr>
          <w:rFonts w:ascii="宋体" w:hAnsi="宋体"/>
        </w:rPr>
        <w:fldChar w:fldCharType="end"/>
      </w:r>
    </w:p>
    <w:p>
      <w:pPr>
        <w:rPr>
          <w:rFonts w:ascii="宋体" w:hAnsi="宋体"/>
        </w:rPr>
      </w:pPr>
    </w:p>
    <w:p>
      <w:pPr>
        <w:rPr>
          <w:rFonts w:ascii="宋体" w:hAnsi="宋体"/>
        </w:rPr>
        <w:sectPr>
          <w:pgSz w:w="11906" w:h="16838"/>
          <w:pgMar w:top="1134" w:right="1134" w:bottom="1134" w:left="1134" w:header="851" w:footer="992" w:gutter="0"/>
          <w:cols w:space="425" w:num="1"/>
          <w:docGrid w:type="lines" w:linePitch="312" w:charSpace="0"/>
        </w:sectPr>
      </w:pPr>
    </w:p>
    <w:p>
      <w:pPr>
        <w:pStyle w:val="3"/>
        <w:numPr>
          <w:ilvl w:val="0"/>
          <w:numId w:val="1"/>
        </w:numPr>
        <w:spacing w:before="0" w:after="0" w:line="594" w:lineRule="exact"/>
        <w:jc w:val="center"/>
        <w:rPr>
          <w:rFonts w:ascii="方正小标宋_GBK" w:hAnsi="方正小标宋_GBK" w:eastAsia="方正小标宋_GBK" w:cs="方正小标宋_GBK"/>
          <w:b w:val="0"/>
          <w:bCs w:val="0"/>
        </w:rPr>
      </w:pPr>
      <w:bookmarkStart w:id="0" w:name="_Toc16196566"/>
      <w:bookmarkStart w:id="1" w:name="_Toc522732299"/>
      <w:r>
        <w:rPr>
          <w:rFonts w:hint="eastAsia" w:ascii="方正小标宋_GBK" w:hAnsi="方正小标宋_GBK" w:eastAsia="方正小标宋_GBK" w:cs="方正小标宋_GBK"/>
          <w:b w:val="0"/>
          <w:bCs w:val="0"/>
        </w:rPr>
        <w:t xml:space="preserve"> 比选</w:t>
      </w:r>
      <w:bookmarkEnd w:id="0"/>
      <w:bookmarkEnd w:id="1"/>
      <w:r>
        <w:rPr>
          <w:rFonts w:hint="eastAsia" w:ascii="方正小标宋_GBK" w:hAnsi="方正小标宋_GBK" w:eastAsia="方正小标宋_GBK" w:cs="方正小标宋_GBK"/>
          <w:b w:val="0"/>
          <w:bCs w:val="0"/>
        </w:rPr>
        <w:t>公告</w:t>
      </w:r>
    </w:p>
    <w:p>
      <w:pPr>
        <w:spacing w:line="594" w:lineRule="exact"/>
      </w:pPr>
    </w:p>
    <w:p>
      <w:pPr>
        <w:spacing w:line="594" w:lineRule="exact"/>
        <w:ind w:left="1520" w:hanging="1526" w:hangingChars="500"/>
        <w:jc w:val="center"/>
        <w:rPr>
          <w:rFonts w:hint="eastAsia" w:ascii="方正黑体_GBK" w:hAnsi="方正黑体_GBK" w:eastAsia="方正黑体_GBK" w:cs="方正黑体_GBK"/>
          <w:b/>
          <w:sz w:val="32"/>
          <w:szCs w:val="32"/>
          <w:lang w:eastAsia="zh-CN"/>
        </w:rPr>
      </w:pPr>
      <w:bookmarkStart w:id="2" w:name="_Toc438467305"/>
      <w:bookmarkStart w:id="3" w:name="_Toc32498"/>
      <w:bookmarkStart w:id="4" w:name="OLE_LINK1"/>
      <w:bookmarkStart w:id="5" w:name="OLE_LINK15"/>
      <w:bookmarkStart w:id="6" w:name="_Toc522732300"/>
      <w:bookmarkStart w:id="7" w:name="_Toc16196567"/>
      <w:r>
        <w:rPr>
          <w:rFonts w:hint="eastAsia" w:ascii="方正黑体_GBK" w:hAnsi="方正黑体_GBK" w:eastAsia="方正黑体_GBK" w:cs="方正黑体_GBK"/>
          <w:b/>
          <w:spacing w:val="-8"/>
          <w:sz w:val="32"/>
          <w:szCs w:val="32"/>
        </w:rPr>
        <w:t>补充医疗保险</w:t>
      </w:r>
      <w:r>
        <w:rPr>
          <w:rFonts w:hint="eastAsia" w:ascii="方正黑体_GBK" w:hAnsi="方正黑体_GBK" w:eastAsia="方正黑体_GBK" w:cs="方正黑体_GBK"/>
          <w:b/>
          <w:spacing w:val="-8"/>
          <w:sz w:val="32"/>
          <w:szCs w:val="32"/>
          <w:lang w:eastAsia="zh-CN"/>
        </w:rPr>
        <w:t>项目</w:t>
      </w:r>
      <w:r>
        <w:rPr>
          <w:rFonts w:hint="eastAsia" w:ascii="方正黑体_GBK" w:hAnsi="方正黑体_GBK" w:eastAsia="方正黑体_GBK" w:cs="方正黑体_GBK"/>
          <w:b/>
          <w:sz w:val="32"/>
          <w:szCs w:val="32"/>
        </w:rPr>
        <w:t>比选公告</w:t>
      </w:r>
      <w:r>
        <w:rPr>
          <w:rFonts w:hint="eastAsia" w:ascii="方正黑体_GBK" w:hAnsi="方正黑体_GBK" w:eastAsia="方正黑体_GBK" w:cs="方正黑体_GBK"/>
          <w:b/>
          <w:sz w:val="32"/>
          <w:szCs w:val="32"/>
          <w:lang w:eastAsia="zh-CN"/>
        </w:rPr>
        <w:t>（第二次）</w:t>
      </w:r>
    </w:p>
    <w:p>
      <w:pPr>
        <w:spacing w:line="360" w:lineRule="auto"/>
        <w:rPr>
          <w:sz w:val="26"/>
          <w:szCs w:val="24"/>
        </w:rPr>
      </w:pPr>
    </w:p>
    <w:p>
      <w:pPr>
        <w:spacing w:line="400" w:lineRule="exact"/>
        <w:rPr>
          <w:rFonts w:ascii="宋体" w:hAnsi="宋体"/>
          <w:b/>
          <w:szCs w:val="21"/>
        </w:rPr>
      </w:pPr>
      <w:r>
        <w:rPr>
          <w:rFonts w:ascii="Times New Roman" w:hAnsi="Times New Roman"/>
          <w:b/>
          <w:szCs w:val="21"/>
        </w:rPr>
        <w:t>1</w:t>
      </w:r>
      <w:r>
        <w:rPr>
          <w:rFonts w:ascii="宋体" w:hAnsi="宋体"/>
          <w:b/>
          <w:szCs w:val="21"/>
        </w:rPr>
        <w:t>.</w:t>
      </w:r>
      <w:r>
        <w:rPr>
          <w:rFonts w:hint="eastAsia" w:ascii="宋体" w:hAnsi="宋体"/>
          <w:b/>
          <w:szCs w:val="21"/>
        </w:rPr>
        <w:t>比选</w:t>
      </w:r>
      <w:r>
        <w:rPr>
          <w:rFonts w:ascii="宋体" w:hAnsi="宋体"/>
          <w:b/>
          <w:szCs w:val="21"/>
        </w:rPr>
        <w:t>条件</w:t>
      </w:r>
      <w:bookmarkEnd w:id="2"/>
    </w:p>
    <w:p>
      <w:pPr>
        <w:adjustRightInd w:val="0"/>
        <w:snapToGrid w:val="0"/>
        <w:spacing w:line="400" w:lineRule="exact"/>
        <w:ind w:firstLine="420" w:firstLineChars="200"/>
        <w:rPr>
          <w:rFonts w:ascii="宋体" w:hAnsi="宋体"/>
          <w:snapToGrid w:val="0"/>
          <w:szCs w:val="21"/>
        </w:rPr>
      </w:pPr>
      <w:bookmarkStart w:id="8" w:name="_Toc366085624"/>
      <w:bookmarkStart w:id="9" w:name="_Toc228772446"/>
      <w:bookmarkStart w:id="10" w:name="_Toc200359239"/>
      <w:bookmarkStart w:id="11" w:name="_Toc200359428"/>
      <w:bookmarkStart w:id="12" w:name="_Toc438467306"/>
      <w:r>
        <w:rPr>
          <w:rFonts w:hint="eastAsia" w:ascii="宋体" w:hAnsi="宋体"/>
          <w:snapToGrid w:val="0"/>
          <w:szCs w:val="21"/>
        </w:rPr>
        <w:t>补充医疗保险项目，比选人为重庆市上桥粮食中转库有限责任公司，本项目资金已到位，邀请符合条件的单位参与比选。</w:t>
      </w:r>
    </w:p>
    <w:p>
      <w:pPr>
        <w:adjustRightInd w:val="0"/>
        <w:snapToGrid w:val="0"/>
        <w:spacing w:line="400" w:lineRule="exact"/>
        <w:rPr>
          <w:rFonts w:ascii="宋体" w:hAnsi="宋体"/>
          <w:b/>
          <w:szCs w:val="21"/>
        </w:rPr>
      </w:pPr>
      <w:r>
        <w:rPr>
          <w:rFonts w:hint="eastAsia" w:ascii="Times New Roman" w:hAnsi="Times New Roman"/>
          <w:b/>
          <w:szCs w:val="21"/>
        </w:rPr>
        <w:t>2</w:t>
      </w:r>
      <w:r>
        <w:rPr>
          <w:rFonts w:ascii="宋体" w:hAnsi="宋体"/>
          <w:b/>
          <w:szCs w:val="21"/>
        </w:rPr>
        <w:t>.</w:t>
      </w:r>
      <w:bookmarkEnd w:id="8"/>
      <w:bookmarkEnd w:id="9"/>
      <w:bookmarkEnd w:id="10"/>
      <w:bookmarkEnd w:id="11"/>
      <w:bookmarkEnd w:id="12"/>
      <w:r>
        <w:rPr>
          <w:rFonts w:hint="eastAsia" w:ascii="宋体" w:hAnsi="宋体"/>
          <w:b/>
          <w:szCs w:val="21"/>
        </w:rPr>
        <w:t>项目</w:t>
      </w:r>
      <w:r>
        <w:rPr>
          <w:rFonts w:ascii="宋体" w:hAnsi="宋体"/>
          <w:b/>
          <w:szCs w:val="21"/>
        </w:rPr>
        <w:t>概况</w:t>
      </w:r>
    </w:p>
    <w:p>
      <w:pPr>
        <w:adjustRightInd w:val="0"/>
        <w:snapToGrid w:val="0"/>
        <w:spacing w:line="400" w:lineRule="exact"/>
        <w:ind w:firstLine="420" w:firstLineChars="200"/>
        <w:rPr>
          <w:rFonts w:ascii="宋体" w:hAnsi="宋体"/>
          <w:snapToGrid w:val="0"/>
          <w:szCs w:val="21"/>
        </w:rPr>
      </w:pPr>
      <w:r>
        <w:rPr>
          <w:rFonts w:hint="eastAsia" w:ascii="Times New Roman" w:hAnsi="Times New Roman"/>
          <w:snapToGrid w:val="0"/>
          <w:szCs w:val="21"/>
        </w:rPr>
        <w:t>2</w:t>
      </w:r>
      <w:r>
        <w:rPr>
          <w:rFonts w:hint="eastAsia" w:ascii="宋体" w:hAnsi="宋体"/>
          <w:snapToGrid w:val="0"/>
          <w:szCs w:val="21"/>
        </w:rPr>
        <w:t>.</w:t>
      </w:r>
      <w:r>
        <w:rPr>
          <w:rFonts w:hint="eastAsia" w:ascii="Times New Roman" w:hAnsi="Times New Roman"/>
          <w:snapToGrid w:val="0"/>
          <w:szCs w:val="21"/>
        </w:rPr>
        <w:t>1</w:t>
      </w:r>
      <w:r>
        <w:rPr>
          <w:rFonts w:hint="eastAsia" w:ascii="宋体" w:hAnsi="宋体"/>
          <w:snapToGrid w:val="0"/>
          <w:szCs w:val="21"/>
        </w:rPr>
        <w:t>项目名称：补充医疗保险项目</w:t>
      </w:r>
    </w:p>
    <w:p>
      <w:pPr>
        <w:adjustRightInd w:val="0"/>
        <w:snapToGrid w:val="0"/>
        <w:spacing w:line="400" w:lineRule="exact"/>
        <w:ind w:firstLine="420" w:firstLineChars="200"/>
        <w:rPr>
          <w:rFonts w:ascii="宋体" w:hAnsi="宋体"/>
          <w:snapToGrid w:val="0"/>
          <w:szCs w:val="21"/>
        </w:rPr>
      </w:pPr>
      <w:r>
        <w:rPr>
          <w:rFonts w:hint="eastAsia" w:ascii="Times New Roman" w:hAnsi="Times New Roman"/>
          <w:snapToGrid w:val="0"/>
          <w:szCs w:val="21"/>
        </w:rPr>
        <w:t>2</w:t>
      </w:r>
      <w:r>
        <w:rPr>
          <w:rFonts w:hint="eastAsia" w:ascii="宋体" w:hAnsi="宋体"/>
          <w:snapToGrid w:val="0"/>
          <w:szCs w:val="21"/>
        </w:rPr>
        <w:t>.</w:t>
      </w:r>
      <w:r>
        <w:rPr>
          <w:rFonts w:hint="eastAsia" w:ascii="Times New Roman" w:hAnsi="Times New Roman"/>
          <w:snapToGrid w:val="0"/>
          <w:szCs w:val="21"/>
        </w:rPr>
        <w:t>2</w:t>
      </w:r>
      <w:r>
        <w:rPr>
          <w:rFonts w:hint="eastAsia" w:ascii="宋体" w:hAnsi="宋体"/>
          <w:snapToGrid w:val="0"/>
          <w:szCs w:val="21"/>
        </w:rPr>
        <w:t>资金来源：企业自筹。</w:t>
      </w:r>
    </w:p>
    <w:p>
      <w:pPr>
        <w:adjustRightInd w:val="0"/>
        <w:snapToGrid w:val="0"/>
        <w:spacing w:line="400" w:lineRule="exact"/>
        <w:ind w:firstLine="420" w:firstLineChars="200"/>
        <w:rPr>
          <w:rFonts w:ascii="宋体" w:hAnsi="宋体"/>
          <w:snapToGrid w:val="0"/>
          <w:szCs w:val="21"/>
        </w:rPr>
      </w:pPr>
      <w:r>
        <w:rPr>
          <w:rFonts w:hint="eastAsia" w:ascii="Times New Roman" w:hAnsi="Times New Roman"/>
          <w:snapToGrid w:val="0"/>
          <w:szCs w:val="21"/>
        </w:rPr>
        <w:t>2</w:t>
      </w:r>
      <w:r>
        <w:rPr>
          <w:rFonts w:hint="eastAsia" w:ascii="宋体" w:hAnsi="宋体"/>
          <w:snapToGrid w:val="0"/>
          <w:szCs w:val="21"/>
        </w:rPr>
        <w:t>.</w:t>
      </w:r>
      <w:r>
        <w:rPr>
          <w:rFonts w:hint="eastAsia" w:ascii="Times New Roman" w:hAnsi="Times New Roman"/>
          <w:snapToGrid w:val="0"/>
          <w:szCs w:val="21"/>
        </w:rPr>
        <w:t>3</w:t>
      </w:r>
      <w:r>
        <w:rPr>
          <w:rFonts w:hint="eastAsia" w:ascii="宋体" w:hAnsi="宋体"/>
          <w:snapToGrid w:val="0"/>
          <w:szCs w:val="21"/>
        </w:rPr>
        <w:t>项目概况：为持续保障员工权益，根据市国资委《关于规范管理企业补充医疗保险的通知(渝国资〔2017〕603号)、市储备粮公司《关于规范建立和管理企业补充医疗保险的通知》，重庆市上桥粮食中转库有限责任公司拟通过购买第三方服务的方式建立职工团体补充医疗保险，采取竞争性比选的方式确定中选人。</w:t>
      </w:r>
    </w:p>
    <w:p>
      <w:pPr>
        <w:adjustRightInd w:val="0"/>
        <w:snapToGrid w:val="0"/>
        <w:spacing w:line="400" w:lineRule="exact"/>
        <w:ind w:firstLine="420" w:firstLineChars="200"/>
        <w:rPr>
          <w:rFonts w:ascii="宋体" w:hAnsi="宋体"/>
          <w:snapToGrid w:val="0"/>
          <w:szCs w:val="21"/>
        </w:rPr>
      </w:pPr>
      <w:r>
        <w:rPr>
          <w:rFonts w:hint="eastAsia" w:ascii="宋体" w:hAnsi="宋体"/>
          <w:snapToGrid w:val="0"/>
          <w:szCs w:val="21"/>
        </w:rPr>
        <w:t>2.4 项目地址：比选人指定。</w:t>
      </w:r>
    </w:p>
    <w:p>
      <w:pPr>
        <w:adjustRightInd w:val="0"/>
        <w:snapToGrid w:val="0"/>
        <w:spacing w:line="400" w:lineRule="exact"/>
        <w:ind w:firstLine="420" w:firstLineChars="200"/>
        <w:rPr>
          <w:rFonts w:ascii="宋体" w:hAnsi="宋体"/>
          <w:snapToGrid w:val="0"/>
          <w:szCs w:val="21"/>
          <w:highlight w:val="none"/>
        </w:rPr>
      </w:pPr>
      <w:r>
        <w:rPr>
          <w:rFonts w:hint="eastAsia" w:ascii="宋体" w:hAnsi="宋体"/>
          <w:snapToGrid w:val="0"/>
          <w:szCs w:val="21"/>
        </w:rPr>
        <w:t>2.5.比选范围：为</w:t>
      </w:r>
      <w:r>
        <w:rPr>
          <w:rFonts w:hint="eastAsia" w:ascii="宋体" w:hAnsi="宋体"/>
          <w:snapToGrid w:val="0"/>
          <w:szCs w:val="21"/>
          <w:lang w:val="zh-TW"/>
        </w:rPr>
        <w:t>重庆</w:t>
      </w:r>
      <w:r>
        <w:rPr>
          <w:rFonts w:hint="eastAsia" w:ascii="宋体" w:hAnsi="宋体"/>
          <w:snapToGrid w:val="0"/>
          <w:szCs w:val="21"/>
          <w:lang w:val="zh-TW" w:eastAsia="zh-TW"/>
        </w:rPr>
        <w:t>市上桥粮食中转库</w:t>
      </w:r>
      <w:r>
        <w:rPr>
          <w:rFonts w:hint="eastAsia" w:ascii="宋体" w:hAnsi="宋体"/>
          <w:snapToGrid w:val="0"/>
          <w:szCs w:val="21"/>
          <w:lang w:val="zh-TW"/>
        </w:rPr>
        <w:t>有限责任</w:t>
      </w:r>
      <w:r>
        <w:rPr>
          <w:rFonts w:hint="eastAsia" w:ascii="宋体" w:hAnsi="宋体"/>
          <w:snapToGrid w:val="0"/>
          <w:szCs w:val="21"/>
          <w:lang w:val="zh-TW" w:eastAsia="zh-TW"/>
        </w:rPr>
        <w:t>公司</w:t>
      </w:r>
      <w:r>
        <w:rPr>
          <w:rFonts w:hint="eastAsia" w:ascii="宋体" w:hAnsi="宋体"/>
          <w:snapToGrid w:val="0"/>
          <w:szCs w:val="21"/>
          <w:lang w:val="zh-TW"/>
        </w:rPr>
        <w:t>（下称“上桥公司”）</w:t>
      </w:r>
      <w:r>
        <w:rPr>
          <w:rFonts w:hint="eastAsia" w:ascii="宋体" w:hAnsi="宋体"/>
          <w:snapToGrid w:val="0"/>
          <w:szCs w:val="21"/>
          <w:lang w:val="zh-TW" w:eastAsia="zh-TW"/>
        </w:rPr>
        <w:t>及</w:t>
      </w:r>
      <w:r>
        <w:rPr>
          <w:rFonts w:hint="eastAsia" w:ascii="宋体" w:hAnsi="宋体"/>
          <w:snapToGrid w:val="0"/>
          <w:szCs w:val="21"/>
          <w:lang w:val="zh-TW"/>
        </w:rPr>
        <w:t>所</w:t>
      </w:r>
      <w:r>
        <w:rPr>
          <w:rFonts w:hint="eastAsia" w:ascii="宋体" w:hAnsi="宋体"/>
          <w:snapToGrid w:val="0"/>
          <w:szCs w:val="21"/>
          <w:lang w:val="zh-TW" w:eastAsia="zh-TW"/>
        </w:rPr>
        <w:t>属子公司建立劳动关系</w:t>
      </w:r>
      <w:r>
        <w:rPr>
          <w:rFonts w:hint="eastAsia" w:ascii="宋体" w:hAnsi="宋体"/>
          <w:snapToGrid w:val="0"/>
          <w:szCs w:val="21"/>
          <w:lang w:val="zh-TW"/>
        </w:rPr>
        <w:t>的在岗员工</w:t>
      </w:r>
      <w:r>
        <w:rPr>
          <w:rFonts w:hint="eastAsia" w:ascii="宋体" w:hAnsi="宋体"/>
          <w:snapToGrid w:val="0"/>
          <w:szCs w:val="21"/>
        </w:rPr>
        <w:t>和2023年起新增的“在册不在编”人员（职工基本情况详见附件1）购买意外伤害、补充</w:t>
      </w:r>
      <w:r>
        <w:rPr>
          <w:rFonts w:hint="eastAsia" w:ascii="宋体" w:hAnsi="宋体"/>
          <w:snapToGrid w:val="0"/>
          <w:szCs w:val="21"/>
          <w:highlight w:val="none"/>
        </w:rPr>
        <w:t>住院医疗、门急诊、</w:t>
      </w:r>
      <w:r>
        <w:rPr>
          <w:rFonts w:hint="eastAsia" w:ascii="宋体" w:hAnsi="宋体"/>
          <w:snapToGrid w:val="0"/>
          <w:szCs w:val="21"/>
          <w:highlight w:val="none"/>
          <w:lang w:bidi="ar"/>
        </w:rPr>
        <w:t>高额住院医疗保障</w:t>
      </w:r>
      <w:r>
        <w:rPr>
          <w:rFonts w:hint="eastAsia" w:ascii="宋体" w:hAnsi="宋体"/>
          <w:snapToGrid w:val="0"/>
          <w:szCs w:val="21"/>
          <w:highlight w:val="none"/>
        </w:rPr>
        <w:t>及特定医疗保险金。</w:t>
      </w:r>
    </w:p>
    <w:p>
      <w:pPr>
        <w:adjustRightInd w:val="0"/>
        <w:snapToGrid w:val="0"/>
        <w:spacing w:line="400" w:lineRule="exact"/>
        <w:ind w:firstLine="420" w:firstLineChars="200"/>
        <w:rPr>
          <w:rFonts w:hint="eastAsia" w:ascii="宋体" w:hAnsi="宋体" w:eastAsia="宋体"/>
          <w:snapToGrid w:val="0"/>
          <w:szCs w:val="21"/>
          <w:highlight w:val="none"/>
          <w:lang w:val="en-US" w:eastAsia="zh-CN"/>
        </w:rPr>
      </w:pPr>
      <w:r>
        <w:rPr>
          <w:rFonts w:hint="eastAsia" w:ascii="宋体" w:hAnsi="宋体"/>
          <w:snapToGrid w:val="0"/>
          <w:szCs w:val="21"/>
          <w:highlight w:val="none"/>
        </w:rPr>
        <w:t>2.6服务期：</w:t>
      </w:r>
      <w:r>
        <w:rPr>
          <w:rFonts w:hint="eastAsia" w:ascii="宋体" w:hAnsi="宋体"/>
          <w:sz w:val="22"/>
          <w:highlight w:val="none"/>
        </w:rPr>
        <w:t>一年（具体服务时间为2024年1月1日-2024年12月31日），</w:t>
      </w:r>
      <w:r>
        <w:rPr>
          <w:rFonts w:hint="eastAsia"/>
          <w:highlight w:val="none"/>
        </w:rPr>
        <w:t>一年到期后比选人根据中选人服务情况选择是否续签，本项目最多可续签两次</w:t>
      </w:r>
      <w:r>
        <w:rPr>
          <w:rFonts w:hint="eastAsia" w:ascii="宋体" w:hAnsi="宋体"/>
          <w:snapToGrid w:val="0"/>
          <w:szCs w:val="21"/>
          <w:highlight w:val="none"/>
        </w:rPr>
        <w:t>。在服务期限内，比选人有权对每年度项目明细、服务期限进行适当调整或终止合同关系</w:t>
      </w:r>
      <w:r>
        <w:rPr>
          <w:rStyle w:val="26"/>
          <w:rFonts w:hint="eastAsia" w:ascii="Times New Roman" w:hAnsi="Times New Roman"/>
          <w:highlight w:val="none"/>
          <w:lang w:eastAsia="zh-CN"/>
        </w:rPr>
        <w:t>。</w:t>
      </w:r>
    </w:p>
    <w:bookmarkEnd w:id="3"/>
    <w:p>
      <w:pPr>
        <w:adjustRightInd w:val="0"/>
        <w:snapToGrid w:val="0"/>
        <w:spacing w:line="400" w:lineRule="exact"/>
        <w:rPr>
          <w:rFonts w:ascii="宋体" w:hAnsi="宋体"/>
          <w:b/>
          <w:szCs w:val="21"/>
        </w:rPr>
      </w:pPr>
      <w:bookmarkStart w:id="13" w:name="_Toc14973"/>
      <w:r>
        <w:rPr>
          <w:rFonts w:ascii="Times New Roman" w:hAnsi="Times New Roman"/>
          <w:b/>
          <w:szCs w:val="21"/>
        </w:rPr>
        <w:t>3</w:t>
      </w:r>
      <w:r>
        <w:rPr>
          <w:rFonts w:ascii="宋体" w:hAnsi="宋体"/>
          <w:b/>
          <w:szCs w:val="21"/>
        </w:rPr>
        <w:t>.</w:t>
      </w:r>
      <w:r>
        <w:rPr>
          <w:rFonts w:hint="eastAsia" w:ascii="宋体" w:hAnsi="宋体"/>
          <w:b/>
          <w:szCs w:val="21"/>
        </w:rPr>
        <w:t>应</w:t>
      </w:r>
      <w:r>
        <w:rPr>
          <w:rFonts w:ascii="宋体" w:hAnsi="宋体"/>
          <w:b/>
          <w:szCs w:val="21"/>
        </w:rPr>
        <w:t>选人资格要求</w:t>
      </w:r>
      <w:bookmarkEnd w:id="13"/>
      <w:bookmarkStart w:id="14" w:name="_Toc10466"/>
    </w:p>
    <w:p>
      <w:pPr>
        <w:spacing w:line="360" w:lineRule="auto"/>
        <w:ind w:firstLine="420" w:firstLineChars="200"/>
        <w:rPr>
          <w:rFonts w:ascii="宋体" w:hAnsi="宋体"/>
          <w:snapToGrid w:val="0"/>
          <w:szCs w:val="21"/>
        </w:rPr>
      </w:pPr>
      <w:r>
        <w:rPr>
          <w:rFonts w:hint="eastAsia" w:ascii="Times New Roman" w:hAnsi="Times New Roman"/>
          <w:snapToGrid w:val="0"/>
          <w:szCs w:val="21"/>
        </w:rPr>
        <w:t>3</w:t>
      </w:r>
      <w:r>
        <w:rPr>
          <w:rFonts w:hint="eastAsia" w:ascii="宋体" w:hAnsi="宋体"/>
          <w:snapToGrid w:val="0"/>
          <w:szCs w:val="21"/>
        </w:rPr>
        <w:t>.</w:t>
      </w:r>
      <w:r>
        <w:rPr>
          <w:rFonts w:hint="eastAsia" w:ascii="Times New Roman" w:hAnsi="Times New Roman"/>
          <w:snapToGrid w:val="0"/>
          <w:szCs w:val="21"/>
        </w:rPr>
        <w:t>1</w:t>
      </w:r>
      <w:r>
        <w:rPr>
          <w:rFonts w:hint="eastAsia" w:ascii="宋体" w:hAnsi="宋体"/>
          <w:snapToGrid w:val="0"/>
          <w:szCs w:val="21"/>
        </w:rPr>
        <w:t xml:space="preserve"> 本次比选实行资格后审，应选人须满足下列资格条件要求：</w:t>
      </w:r>
    </w:p>
    <w:p>
      <w:pPr>
        <w:spacing w:line="360" w:lineRule="auto"/>
        <w:ind w:firstLine="420" w:firstLineChars="200"/>
        <w:rPr>
          <w:rFonts w:ascii="宋体" w:hAnsi="宋体"/>
          <w:snapToGrid w:val="0"/>
          <w:szCs w:val="21"/>
        </w:rPr>
      </w:pPr>
      <w:r>
        <w:rPr>
          <w:rFonts w:hint="eastAsia" w:ascii="宋体" w:hAnsi="宋体"/>
          <w:snapToGrid w:val="0"/>
          <w:szCs w:val="21"/>
        </w:rPr>
        <w:t>（一）基本资格条件</w:t>
      </w:r>
    </w:p>
    <w:p>
      <w:pPr>
        <w:spacing w:line="360" w:lineRule="auto"/>
        <w:ind w:firstLine="420" w:firstLineChars="200"/>
        <w:rPr>
          <w:rFonts w:ascii="宋体" w:hAnsi="宋体"/>
          <w:snapToGrid w:val="0"/>
          <w:szCs w:val="21"/>
        </w:rPr>
      </w:pPr>
      <w:r>
        <w:rPr>
          <w:rFonts w:hint="eastAsia" w:ascii="Times New Roman" w:hAnsi="Times New Roman"/>
          <w:snapToGrid w:val="0"/>
          <w:szCs w:val="21"/>
        </w:rPr>
        <w:t>1</w:t>
      </w:r>
      <w:r>
        <w:rPr>
          <w:rFonts w:hint="eastAsia" w:ascii="宋体" w:hAnsi="宋体"/>
          <w:snapToGrid w:val="0"/>
          <w:szCs w:val="21"/>
        </w:rPr>
        <w:t>.具有独立承担民事责任的能力；</w:t>
      </w:r>
    </w:p>
    <w:p>
      <w:pPr>
        <w:spacing w:line="360" w:lineRule="auto"/>
        <w:ind w:firstLine="420" w:firstLineChars="200"/>
        <w:rPr>
          <w:rFonts w:ascii="宋体" w:hAnsi="宋体"/>
          <w:snapToGrid w:val="0"/>
          <w:szCs w:val="21"/>
        </w:rPr>
      </w:pPr>
      <w:r>
        <w:rPr>
          <w:rFonts w:hint="eastAsia" w:ascii="Times New Roman" w:hAnsi="Times New Roman"/>
          <w:snapToGrid w:val="0"/>
          <w:szCs w:val="21"/>
        </w:rPr>
        <w:t>2</w:t>
      </w:r>
      <w:r>
        <w:rPr>
          <w:rFonts w:hint="eastAsia" w:ascii="宋体" w:hAnsi="宋体"/>
          <w:snapToGrid w:val="0"/>
          <w:szCs w:val="21"/>
        </w:rPr>
        <w:t>.具有良好的商业信誉和健全的财务会计制度；</w:t>
      </w:r>
    </w:p>
    <w:p>
      <w:pPr>
        <w:spacing w:line="360" w:lineRule="auto"/>
        <w:ind w:firstLine="420" w:firstLineChars="200"/>
        <w:rPr>
          <w:rFonts w:ascii="宋体" w:hAnsi="宋体"/>
          <w:snapToGrid w:val="0"/>
          <w:szCs w:val="21"/>
        </w:rPr>
      </w:pPr>
      <w:r>
        <w:rPr>
          <w:rFonts w:hint="eastAsia" w:ascii="Times New Roman" w:hAnsi="Times New Roman"/>
          <w:snapToGrid w:val="0"/>
          <w:szCs w:val="21"/>
        </w:rPr>
        <w:t>3</w:t>
      </w:r>
      <w:r>
        <w:rPr>
          <w:rFonts w:hint="eastAsia" w:ascii="宋体" w:hAnsi="宋体"/>
          <w:snapToGrid w:val="0"/>
          <w:szCs w:val="21"/>
        </w:rPr>
        <w:t>.具有履行合同所必需的材料资源、售后保障等能力；</w:t>
      </w:r>
    </w:p>
    <w:p>
      <w:pPr>
        <w:spacing w:line="360" w:lineRule="auto"/>
        <w:ind w:firstLine="420" w:firstLineChars="200"/>
        <w:rPr>
          <w:rFonts w:ascii="宋体" w:hAnsi="宋体"/>
          <w:snapToGrid w:val="0"/>
          <w:szCs w:val="21"/>
        </w:rPr>
      </w:pPr>
      <w:r>
        <w:rPr>
          <w:rFonts w:hint="eastAsia" w:ascii="Times New Roman" w:hAnsi="Times New Roman"/>
          <w:snapToGrid w:val="0"/>
          <w:szCs w:val="21"/>
        </w:rPr>
        <w:t>4</w:t>
      </w:r>
      <w:r>
        <w:rPr>
          <w:rFonts w:hint="eastAsia" w:ascii="宋体" w:hAnsi="宋体"/>
          <w:snapToGrid w:val="0"/>
          <w:szCs w:val="21"/>
        </w:rPr>
        <w:t>.有依法缴纳税收和社会保障资金的良好记录；</w:t>
      </w:r>
    </w:p>
    <w:p>
      <w:pPr>
        <w:spacing w:line="360" w:lineRule="auto"/>
        <w:ind w:firstLine="420" w:firstLineChars="200"/>
        <w:rPr>
          <w:rFonts w:ascii="宋体" w:hAnsi="宋体"/>
          <w:snapToGrid w:val="0"/>
          <w:szCs w:val="21"/>
        </w:rPr>
      </w:pPr>
      <w:r>
        <w:rPr>
          <w:rFonts w:hint="eastAsia" w:ascii="Times New Roman" w:hAnsi="Times New Roman"/>
          <w:snapToGrid w:val="0"/>
          <w:szCs w:val="21"/>
        </w:rPr>
        <w:t>5</w:t>
      </w:r>
      <w:r>
        <w:rPr>
          <w:rFonts w:hint="eastAsia" w:ascii="宋体" w:hAnsi="宋体"/>
          <w:snapToGrid w:val="0"/>
          <w:szCs w:val="21"/>
        </w:rPr>
        <w:t>.参加本次比选活动近三年内，在经营活动中没有重大违法记录。</w:t>
      </w:r>
    </w:p>
    <w:p>
      <w:pPr>
        <w:spacing w:line="360" w:lineRule="auto"/>
        <w:ind w:firstLine="420" w:firstLineChars="200"/>
        <w:rPr>
          <w:rFonts w:ascii="宋体" w:hAnsi="宋体"/>
          <w:snapToGrid w:val="0"/>
          <w:szCs w:val="21"/>
        </w:rPr>
      </w:pPr>
      <w:r>
        <w:rPr>
          <w:rFonts w:hint="eastAsia" w:ascii="宋体" w:hAnsi="宋体"/>
          <w:snapToGrid w:val="0"/>
          <w:szCs w:val="21"/>
        </w:rPr>
        <w:t>（二）特定资格条件</w:t>
      </w:r>
    </w:p>
    <w:p>
      <w:pPr>
        <w:spacing w:line="360" w:lineRule="auto"/>
        <w:ind w:firstLine="420" w:firstLineChars="200"/>
        <w:rPr>
          <w:rFonts w:ascii="宋体" w:hAnsi="宋体"/>
          <w:snapToGrid w:val="0"/>
          <w:szCs w:val="21"/>
        </w:rPr>
      </w:pPr>
      <w:r>
        <w:rPr>
          <w:rFonts w:hint="eastAsia" w:ascii="Times New Roman" w:hAnsi="Times New Roman"/>
          <w:snapToGrid w:val="0"/>
          <w:szCs w:val="21"/>
        </w:rPr>
        <w:t>1</w:t>
      </w:r>
      <w:r>
        <w:rPr>
          <w:rFonts w:hint="eastAsia" w:ascii="宋体" w:hAnsi="宋体"/>
          <w:snapToGrid w:val="0"/>
          <w:szCs w:val="21"/>
        </w:rPr>
        <w:t>.应选人具有独立法人资格或为经总公司唯一授权的省级（或直辖市）分公司；</w:t>
      </w:r>
    </w:p>
    <w:p>
      <w:pPr>
        <w:spacing w:line="276" w:lineRule="auto"/>
        <w:ind w:firstLine="420" w:firstLineChars="200"/>
        <w:rPr>
          <w:rFonts w:ascii="宋体" w:hAnsi="宋体"/>
          <w:snapToGrid w:val="0"/>
          <w:szCs w:val="21"/>
        </w:rPr>
      </w:pPr>
      <w:r>
        <w:rPr>
          <w:rFonts w:hint="eastAsia" w:ascii="Times New Roman" w:hAnsi="Times New Roman"/>
          <w:snapToGrid w:val="0"/>
          <w:szCs w:val="21"/>
        </w:rPr>
        <w:t>2</w:t>
      </w:r>
      <w:r>
        <w:rPr>
          <w:rFonts w:hint="eastAsia" w:ascii="宋体" w:hAnsi="宋体"/>
          <w:snapToGrid w:val="0"/>
          <w:szCs w:val="21"/>
        </w:rPr>
        <w:t>.应选人（或其总公司）具有中国保险监督管理委员会或中国银行保险监督管理委员会核发的《经营保险业务许可证》；</w:t>
      </w:r>
    </w:p>
    <w:p>
      <w:pPr>
        <w:spacing w:line="276" w:lineRule="auto"/>
        <w:ind w:firstLine="420" w:firstLineChars="200"/>
        <w:rPr>
          <w:rFonts w:ascii="宋体" w:hAnsi="宋体"/>
          <w:snapToGrid w:val="0"/>
          <w:szCs w:val="21"/>
        </w:rPr>
      </w:pPr>
      <w:r>
        <w:rPr>
          <w:rFonts w:hint="eastAsia" w:ascii="宋体" w:hAnsi="宋体"/>
          <w:snapToGrid w:val="0"/>
          <w:szCs w:val="21"/>
        </w:rPr>
        <w:t>3.提供的医疗保险产品必须经过中国银保监协会备案；</w:t>
      </w:r>
    </w:p>
    <w:p>
      <w:pPr>
        <w:spacing w:line="276" w:lineRule="auto"/>
        <w:ind w:firstLine="420" w:firstLineChars="200"/>
        <w:rPr>
          <w:rFonts w:ascii="宋体" w:hAnsi="宋体"/>
          <w:snapToGrid w:val="0"/>
          <w:szCs w:val="21"/>
        </w:rPr>
      </w:pPr>
      <w:r>
        <w:rPr>
          <w:rFonts w:hint="eastAsia" w:ascii="宋体" w:hAnsi="宋体"/>
          <w:snapToGrid w:val="0"/>
          <w:szCs w:val="21"/>
        </w:rPr>
        <w:t>4.应选人具有近三年（合同签订时间为2021年1月1日起至比选截止之日止）单价超过</w:t>
      </w:r>
      <w:r>
        <w:rPr>
          <w:rFonts w:ascii="宋体" w:hAnsi="宋体"/>
          <w:snapToGrid w:val="0"/>
          <w:szCs w:val="21"/>
        </w:rPr>
        <w:t>60</w:t>
      </w:r>
      <w:r>
        <w:rPr>
          <w:rFonts w:hint="eastAsia" w:ascii="宋体" w:hAnsi="宋体"/>
          <w:snapToGrid w:val="0"/>
          <w:szCs w:val="21"/>
        </w:rPr>
        <w:t>万的同类保险业绩至少一个。</w:t>
      </w:r>
    </w:p>
    <w:p>
      <w:pPr>
        <w:spacing w:line="276" w:lineRule="auto"/>
        <w:ind w:firstLine="420" w:firstLineChars="200"/>
        <w:rPr>
          <w:rFonts w:ascii="宋体" w:hAnsi="宋体"/>
          <w:snapToGrid w:val="0"/>
          <w:szCs w:val="21"/>
        </w:rPr>
      </w:pPr>
      <w:r>
        <w:rPr>
          <w:rFonts w:hint="eastAsia" w:ascii="宋体" w:hAnsi="宋体"/>
          <w:snapToGrid w:val="0"/>
          <w:szCs w:val="21"/>
        </w:rPr>
        <w:t>5.需配备充足、稳定、高素质的项目经理和专业团队，并在合同期内保持相对稳定，确保能够提供专业、高效的保险理赔服务。</w:t>
      </w:r>
    </w:p>
    <w:p>
      <w:pPr>
        <w:spacing w:line="276" w:lineRule="auto"/>
        <w:ind w:firstLine="420" w:firstLineChars="200"/>
        <w:rPr>
          <w:rFonts w:ascii="宋体" w:hAnsi="宋体"/>
          <w:snapToGrid w:val="0"/>
          <w:szCs w:val="21"/>
        </w:rPr>
      </w:pPr>
      <w:r>
        <w:rPr>
          <w:rFonts w:hint="eastAsia" w:ascii="宋体" w:hAnsi="宋体"/>
          <w:snapToGrid w:val="0"/>
          <w:szCs w:val="21"/>
        </w:rPr>
        <w:t>6.近三年内无违反执业道德和违法执业行为。</w:t>
      </w:r>
    </w:p>
    <w:p>
      <w:pPr>
        <w:widowControl/>
        <w:spacing w:line="276" w:lineRule="auto"/>
        <w:ind w:firstLine="420" w:firstLineChars="200"/>
        <w:rPr>
          <w:rFonts w:ascii="宋体" w:hAnsi="宋体"/>
          <w:snapToGrid w:val="0"/>
          <w:szCs w:val="21"/>
        </w:rPr>
      </w:pPr>
      <w:r>
        <w:rPr>
          <w:rFonts w:hint="eastAsia" w:ascii="宋体" w:hAnsi="宋体"/>
          <w:snapToGrid w:val="0"/>
          <w:szCs w:val="21"/>
        </w:rPr>
        <w:t>本项目不接受联合体应选</w:t>
      </w:r>
    </w:p>
    <w:p>
      <w:pPr>
        <w:spacing w:line="276" w:lineRule="auto"/>
        <w:ind w:firstLine="420" w:firstLineChars="200"/>
        <w:rPr>
          <w:rFonts w:ascii="宋体" w:hAnsi="宋体"/>
          <w:snapToGrid w:val="0"/>
          <w:szCs w:val="21"/>
        </w:rPr>
      </w:pPr>
      <w:r>
        <w:rPr>
          <w:rFonts w:hint="eastAsia" w:ascii="宋体" w:hAnsi="宋体"/>
          <w:snapToGrid w:val="0"/>
          <w:szCs w:val="21"/>
        </w:rPr>
        <w:t>具体要求详见第二章应选人须知前附表第7项应选人资质条件、能力和信誉。</w:t>
      </w:r>
    </w:p>
    <w:bookmarkEnd w:id="14"/>
    <w:p>
      <w:pPr>
        <w:adjustRightInd w:val="0"/>
        <w:snapToGrid w:val="0"/>
        <w:spacing w:line="400" w:lineRule="exact"/>
        <w:rPr>
          <w:rFonts w:ascii="宋体" w:hAnsi="宋体"/>
          <w:snapToGrid w:val="0"/>
          <w:szCs w:val="21"/>
        </w:rPr>
      </w:pPr>
      <w:bookmarkStart w:id="15" w:name="_Toc10128"/>
      <w:r>
        <w:rPr>
          <w:rFonts w:hint="eastAsia" w:ascii="宋体" w:hAnsi="宋体"/>
          <w:b/>
          <w:szCs w:val="21"/>
        </w:rPr>
        <w:t>4</w:t>
      </w:r>
      <w:r>
        <w:rPr>
          <w:rFonts w:ascii="宋体" w:hAnsi="宋体"/>
          <w:b/>
          <w:szCs w:val="21"/>
        </w:rPr>
        <w:t>.</w:t>
      </w:r>
      <w:r>
        <w:rPr>
          <w:rFonts w:hint="eastAsia" w:ascii="宋体" w:hAnsi="宋体"/>
          <w:b/>
          <w:szCs w:val="21"/>
        </w:rPr>
        <w:t>应选</w:t>
      </w:r>
      <w:r>
        <w:rPr>
          <w:rFonts w:ascii="宋体" w:hAnsi="宋体"/>
          <w:b/>
          <w:szCs w:val="21"/>
        </w:rPr>
        <w:t>文件的递交</w:t>
      </w:r>
      <w:bookmarkEnd w:id="15"/>
    </w:p>
    <w:p>
      <w:pPr>
        <w:spacing w:line="360" w:lineRule="auto"/>
        <w:ind w:firstLine="420" w:firstLineChars="200"/>
        <w:rPr>
          <w:rFonts w:ascii="宋体" w:hAnsi="宋体"/>
          <w:snapToGrid w:val="0"/>
          <w:szCs w:val="21"/>
        </w:rPr>
      </w:pPr>
      <w:bookmarkStart w:id="16" w:name="_Toc1825"/>
      <w:r>
        <w:rPr>
          <w:rFonts w:hint="eastAsia" w:ascii="宋体" w:hAnsi="宋体"/>
          <w:snapToGrid w:val="0"/>
          <w:szCs w:val="21"/>
        </w:rPr>
        <w:t xml:space="preserve">4.1  应选文件递交的截止时间：请应选人将应选文件于2024年 </w:t>
      </w:r>
      <w:r>
        <w:rPr>
          <w:rFonts w:hint="eastAsia" w:ascii="宋体" w:hAnsi="宋体"/>
          <w:snapToGrid w:val="0"/>
          <w:szCs w:val="21"/>
          <w:lang w:val="en-US" w:eastAsia="zh-CN"/>
        </w:rPr>
        <w:t>1</w:t>
      </w:r>
      <w:r>
        <w:rPr>
          <w:rFonts w:hint="eastAsia" w:ascii="宋体" w:hAnsi="宋体"/>
          <w:snapToGrid w:val="0"/>
          <w:szCs w:val="21"/>
        </w:rPr>
        <w:t xml:space="preserve"> 月 </w:t>
      </w:r>
      <w:r>
        <w:rPr>
          <w:rFonts w:hint="eastAsia" w:ascii="宋体" w:hAnsi="宋体"/>
          <w:snapToGrid w:val="0"/>
          <w:szCs w:val="21"/>
          <w:lang w:val="en-US" w:eastAsia="zh-CN"/>
        </w:rPr>
        <w:t>31</w:t>
      </w:r>
      <w:r>
        <w:rPr>
          <w:rFonts w:hint="eastAsia" w:ascii="宋体" w:hAnsi="宋体"/>
          <w:snapToGrid w:val="0"/>
          <w:szCs w:val="21"/>
        </w:rPr>
        <w:t xml:space="preserve"> 日10时00分前，地址为：重庆市高新区白市驿镇高田坎村66号（高新区储备库办公大楼</w:t>
      </w:r>
      <w:r>
        <w:rPr>
          <w:rFonts w:hint="eastAsia" w:ascii="宋体" w:hAnsi="宋体"/>
          <w:snapToGrid w:val="0"/>
          <w:szCs w:val="21"/>
          <w:lang w:val="en-US" w:eastAsia="zh-CN"/>
        </w:rPr>
        <w:t>410办公室</w:t>
      </w:r>
      <w:r>
        <w:rPr>
          <w:rFonts w:hint="eastAsia" w:ascii="宋体" w:hAnsi="宋体"/>
          <w:snapToGrid w:val="0"/>
          <w:szCs w:val="21"/>
        </w:rPr>
        <w:t>）。</w:t>
      </w:r>
    </w:p>
    <w:p>
      <w:pPr>
        <w:spacing w:line="360" w:lineRule="auto"/>
        <w:ind w:firstLine="420" w:firstLineChars="200"/>
        <w:rPr>
          <w:rFonts w:ascii="宋体" w:hAnsi="宋体"/>
          <w:snapToGrid w:val="0"/>
          <w:szCs w:val="21"/>
        </w:rPr>
      </w:pPr>
      <w:r>
        <w:rPr>
          <w:rFonts w:hint="eastAsia" w:ascii="宋体" w:hAnsi="宋体"/>
          <w:snapToGrid w:val="0"/>
          <w:szCs w:val="21"/>
        </w:rPr>
        <w:t>4.2  逾期送达的或者未送达指定地点的应选文件，比选人不予受理。</w:t>
      </w:r>
    </w:p>
    <w:bookmarkEnd w:id="16"/>
    <w:p>
      <w:pPr>
        <w:spacing w:line="400" w:lineRule="exact"/>
        <w:rPr>
          <w:rFonts w:ascii="宋体" w:hAnsi="宋体"/>
          <w:b/>
          <w:szCs w:val="21"/>
        </w:rPr>
      </w:pPr>
      <w:bookmarkStart w:id="17" w:name="_Toc27153"/>
      <w:r>
        <w:rPr>
          <w:rFonts w:hint="eastAsia" w:ascii="宋体" w:hAnsi="宋体"/>
          <w:b/>
          <w:szCs w:val="21"/>
        </w:rPr>
        <w:t>5</w:t>
      </w:r>
      <w:r>
        <w:rPr>
          <w:rFonts w:ascii="宋体" w:hAnsi="宋体"/>
          <w:b/>
          <w:szCs w:val="21"/>
        </w:rPr>
        <w:t>.</w:t>
      </w:r>
      <w:r>
        <w:rPr>
          <w:rFonts w:hint="eastAsia" w:ascii="宋体" w:hAnsi="宋体"/>
          <w:b/>
          <w:szCs w:val="21"/>
        </w:rPr>
        <w:t>比选时间和地点</w:t>
      </w:r>
    </w:p>
    <w:p>
      <w:pPr>
        <w:widowControl/>
        <w:spacing w:line="360" w:lineRule="auto"/>
        <w:ind w:firstLine="420" w:firstLineChars="200"/>
        <w:jc w:val="left"/>
        <w:rPr>
          <w:rFonts w:ascii="宋体" w:hAnsi="宋体"/>
          <w:snapToGrid w:val="0"/>
          <w:szCs w:val="21"/>
        </w:rPr>
      </w:pPr>
      <w:r>
        <w:rPr>
          <w:rFonts w:hint="eastAsia" w:ascii="宋体" w:hAnsi="宋体"/>
          <w:snapToGrid w:val="0"/>
          <w:szCs w:val="21"/>
        </w:rPr>
        <w:t xml:space="preserve">开标时间：2024年 </w:t>
      </w:r>
      <w:r>
        <w:rPr>
          <w:rFonts w:hint="eastAsia" w:ascii="宋体" w:hAnsi="宋体"/>
          <w:snapToGrid w:val="0"/>
          <w:szCs w:val="21"/>
          <w:lang w:val="en-US" w:eastAsia="zh-CN"/>
        </w:rPr>
        <w:t>1</w:t>
      </w:r>
      <w:r>
        <w:rPr>
          <w:rFonts w:hint="eastAsia" w:ascii="宋体" w:hAnsi="宋体"/>
          <w:snapToGrid w:val="0"/>
          <w:szCs w:val="21"/>
        </w:rPr>
        <w:t xml:space="preserve"> 月 </w:t>
      </w:r>
      <w:r>
        <w:rPr>
          <w:rFonts w:hint="eastAsia" w:ascii="宋体" w:hAnsi="宋体"/>
          <w:snapToGrid w:val="0"/>
          <w:szCs w:val="21"/>
          <w:lang w:val="en-US" w:eastAsia="zh-CN"/>
        </w:rPr>
        <w:t xml:space="preserve">31 </w:t>
      </w:r>
      <w:r>
        <w:rPr>
          <w:rFonts w:hint="eastAsia" w:ascii="宋体" w:hAnsi="宋体"/>
          <w:snapToGrid w:val="0"/>
          <w:szCs w:val="21"/>
        </w:rPr>
        <w:t>日</w:t>
      </w:r>
      <w:r>
        <w:rPr>
          <w:rFonts w:hint="eastAsia" w:ascii="宋体" w:hAnsi="宋体"/>
          <w:snapToGrid w:val="0"/>
          <w:szCs w:val="21"/>
          <w:lang w:val="en-US" w:eastAsia="zh-CN"/>
        </w:rPr>
        <w:t>1</w:t>
      </w:r>
      <w:r>
        <w:rPr>
          <w:rFonts w:hint="eastAsia" w:ascii="宋体" w:hAnsi="宋体"/>
          <w:snapToGrid w:val="0"/>
          <w:szCs w:val="21"/>
        </w:rPr>
        <w:t>0时00分</w:t>
      </w:r>
    </w:p>
    <w:p>
      <w:pPr>
        <w:spacing w:line="360" w:lineRule="auto"/>
        <w:ind w:firstLine="420" w:firstLineChars="200"/>
        <w:rPr>
          <w:rFonts w:ascii="宋体" w:hAnsi="宋体"/>
          <w:snapToGrid w:val="0"/>
          <w:szCs w:val="21"/>
        </w:rPr>
      </w:pPr>
      <w:r>
        <w:rPr>
          <w:rFonts w:hint="eastAsia" w:ascii="宋体" w:hAnsi="宋体"/>
          <w:snapToGrid w:val="0"/>
          <w:szCs w:val="21"/>
        </w:rPr>
        <w:t>开标地点：重庆市高新区白市驿镇高田坎村66号（高新区储备库办公大楼）。</w:t>
      </w:r>
    </w:p>
    <w:p>
      <w:pPr>
        <w:spacing w:line="400" w:lineRule="exact"/>
        <w:rPr>
          <w:rFonts w:ascii="宋体" w:hAnsi="宋体"/>
          <w:b/>
          <w:szCs w:val="21"/>
        </w:rPr>
      </w:pPr>
      <w:r>
        <w:rPr>
          <w:rFonts w:hint="eastAsia" w:ascii="宋体" w:hAnsi="宋体"/>
          <w:b/>
          <w:szCs w:val="21"/>
        </w:rPr>
        <w:t>6.</w:t>
      </w:r>
      <w:r>
        <w:rPr>
          <w:rFonts w:ascii="宋体" w:hAnsi="宋体"/>
          <w:b/>
          <w:szCs w:val="21"/>
        </w:rPr>
        <w:t>发布</w:t>
      </w:r>
      <w:r>
        <w:rPr>
          <w:rFonts w:hint="eastAsia" w:ascii="宋体" w:hAnsi="宋体"/>
          <w:b/>
          <w:szCs w:val="21"/>
        </w:rPr>
        <w:t>比选</w:t>
      </w:r>
      <w:r>
        <w:rPr>
          <w:rFonts w:ascii="宋体" w:hAnsi="宋体"/>
          <w:b/>
          <w:szCs w:val="21"/>
        </w:rPr>
        <w:t>公告的媒介</w:t>
      </w:r>
    </w:p>
    <w:p>
      <w:pPr>
        <w:spacing w:line="400" w:lineRule="exact"/>
        <w:ind w:firstLine="420" w:firstLineChars="200"/>
      </w:pPr>
      <w:r>
        <w:rPr>
          <w:rFonts w:ascii="宋体" w:hAnsi="宋体"/>
        </w:rPr>
        <w:t>本次</w:t>
      </w:r>
      <w:r>
        <w:rPr>
          <w:rFonts w:hint="eastAsia" w:ascii="宋体" w:hAnsi="宋体"/>
        </w:rPr>
        <w:t>比选</w:t>
      </w:r>
      <w:r>
        <w:rPr>
          <w:rFonts w:ascii="宋体" w:hAnsi="宋体"/>
        </w:rPr>
        <w:t>公告在</w:t>
      </w:r>
      <w:r>
        <w:rPr>
          <w:rFonts w:hint="eastAsia" w:ascii="宋体" w:hAnsi="宋体"/>
        </w:rPr>
        <w:t>“重庆国际投资咨询集团有限公司（</w:t>
      </w:r>
      <w:r>
        <w:rPr>
          <w:rFonts w:hint="eastAsia" w:ascii="Times New Roman" w:hAnsi="Times New Roman"/>
        </w:rPr>
        <w:t>https://www.cqiic.com/</w:t>
      </w:r>
      <w:r>
        <w:rPr>
          <w:rFonts w:hint="eastAsia" w:ascii="宋体" w:hAnsi="宋体"/>
        </w:rPr>
        <w:t>）”</w:t>
      </w:r>
      <w:r>
        <w:rPr>
          <w:rFonts w:ascii="宋体" w:hAnsi="宋体"/>
        </w:rPr>
        <w:t>发布。</w:t>
      </w:r>
    </w:p>
    <w:p>
      <w:pPr>
        <w:spacing w:line="400" w:lineRule="exact"/>
        <w:rPr>
          <w:rFonts w:ascii="宋体" w:hAnsi="宋体"/>
        </w:rPr>
      </w:pPr>
      <w:r>
        <w:rPr>
          <w:rFonts w:hint="eastAsia" w:ascii="Times New Roman" w:hAnsi="Times New Roman"/>
          <w:b/>
          <w:szCs w:val="21"/>
        </w:rPr>
        <w:t>8</w:t>
      </w:r>
      <w:r>
        <w:rPr>
          <w:rFonts w:hint="eastAsia" w:ascii="宋体" w:hAnsi="宋体"/>
          <w:b/>
          <w:szCs w:val="21"/>
        </w:rPr>
        <w:t>.</w:t>
      </w:r>
      <w:r>
        <w:rPr>
          <w:rFonts w:ascii="宋体" w:hAnsi="宋体"/>
          <w:b/>
          <w:szCs w:val="21"/>
        </w:rPr>
        <w:t>联系方式</w:t>
      </w:r>
      <w:bookmarkEnd w:id="17"/>
    </w:p>
    <w:p>
      <w:pPr>
        <w:spacing w:line="360" w:lineRule="auto"/>
        <w:ind w:firstLine="420" w:firstLineChars="200"/>
        <w:rPr>
          <w:rFonts w:ascii="宋体" w:hAnsi="宋体"/>
          <w:snapToGrid w:val="0"/>
          <w:szCs w:val="21"/>
        </w:rPr>
      </w:pPr>
      <w:r>
        <w:rPr>
          <w:rFonts w:hint="eastAsia" w:ascii="宋体" w:hAnsi="宋体"/>
          <w:snapToGrid w:val="0"/>
          <w:szCs w:val="21"/>
        </w:rPr>
        <w:t>比 选 人：重庆市上桥粮食中转库有限责任公司</w:t>
      </w:r>
    </w:p>
    <w:p>
      <w:pPr>
        <w:spacing w:line="360" w:lineRule="auto"/>
        <w:ind w:firstLine="420" w:firstLineChars="200"/>
        <w:rPr>
          <w:rFonts w:ascii="宋体" w:hAnsi="宋体"/>
          <w:snapToGrid w:val="0"/>
          <w:szCs w:val="21"/>
        </w:rPr>
      </w:pPr>
      <w:r>
        <w:rPr>
          <w:rFonts w:hint="eastAsia" w:ascii="宋体" w:hAnsi="宋体"/>
          <w:snapToGrid w:val="0"/>
          <w:szCs w:val="21"/>
        </w:rPr>
        <w:t>地    址：重庆市高新区白市驿镇高田坎村66号</w:t>
      </w:r>
    </w:p>
    <w:p>
      <w:pPr>
        <w:spacing w:line="360" w:lineRule="auto"/>
        <w:ind w:firstLine="420" w:firstLineChars="200"/>
        <w:rPr>
          <w:rFonts w:ascii="宋体" w:hAnsi="宋体"/>
          <w:snapToGrid w:val="0"/>
          <w:szCs w:val="21"/>
        </w:rPr>
      </w:pPr>
      <w:r>
        <w:rPr>
          <w:rFonts w:hint="eastAsia" w:ascii="宋体" w:hAnsi="宋体"/>
          <w:snapToGrid w:val="0"/>
          <w:szCs w:val="21"/>
        </w:rPr>
        <w:t xml:space="preserve">联 系 人：谭女士                          </w:t>
      </w:r>
    </w:p>
    <w:p>
      <w:pPr>
        <w:spacing w:line="360" w:lineRule="auto"/>
        <w:ind w:firstLine="420" w:firstLineChars="200"/>
        <w:rPr>
          <w:rFonts w:ascii="宋体" w:hAnsi="宋体"/>
          <w:sz w:val="32"/>
          <w:szCs w:val="32"/>
        </w:rPr>
      </w:pPr>
      <w:r>
        <w:rPr>
          <w:rFonts w:hint="eastAsia" w:ascii="宋体" w:hAnsi="宋体"/>
          <w:snapToGrid w:val="0"/>
          <w:szCs w:val="21"/>
        </w:rPr>
        <w:t>联系电话：</w:t>
      </w:r>
      <w:r>
        <w:rPr>
          <w:rFonts w:hint="eastAsia" w:ascii="Times New Roman" w:hAnsi="Times New Roman"/>
          <w:snapToGrid w:val="0"/>
          <w:szCs w:val="21"/>
        </w:rPr>
        <w:t>023-67301457</w:t>
      </w:r>
      <w:bookmarkEnd w:id="4"/>
      <w:bookmarkEnd w:id="5"/>
    </w:p>
    <w:p>
      <w:pPr>
        <w:pStyle w:val="3"/>
        <w:spacing w:before="240" w:after="240" w:line="240" w:lineRule="auto"/>
        <w:jc w:val="center"/>
        <w:rPr>
          <w:rFonts w:ascii="宋体" w:hAnsi="宋体"/>
          <w:sz w:val="32"/>
          <w:szCs w:val="32"/>
        </w:rPr>
      </w:pPr>
      <w:r>
        <w:rPr>
          <w:rFonts w:ascii="宋体" w:hAnsi="宋体"/>
          <w:sz w:val="32"/>
          <w:szCs w:val="32"/>
        </w:rPr>
        <w:t xml:space="preserve">第二章  </w:t>
      </w:r>
      <w:r>
        <w:rPr>
          <w:rFonts w:hint="eastAsia" w:ascii="宋体" w:hAnsi="宋体"/>
          <w:sz w:val="32"/>
          <w:szCs w:val="32"/>
        </w:rPr>
        <w:t>应</w:t>
      </w:r>
      <w:r>
        <w:rPr>
          <w:rFonts w:ascii="宋体" w:hAnsi="宋体"/>
          <w:sz w:val="32"/>
          <w:szCs w:val="32"/>
        </w:rPr>
        <w:t>选人须知</w:t>
      </w:r>
      <w:bookmarkEnd w:id="6"/>
      <w:bookmarkEnd w:id="7"/>
    </w:p>
    <w:p>
      <w:pPr>
        <w:rPr>
          <w:rFonts w:ascii="宋体" w:hAnsi="宋体"/>
        </w:rPr>
      </w:pPr>
    </w:p>
    <w:tbl>
      <w:tblPr>
        <w:tblStyle w:val="20"/>
        <w:tblW w:w="104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1364"/>
        <w:gridCol w:w="8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850" w:type="dxa"/>
            <w:vAlign w:val="center"/>
          </w:tcPr>
          <w:p>
            <w:pPr>
              <w:snapToGrid w:val="0"/>
              <w:spacing w:line="360" w:lineRule="auto"/>
              <w:jc w:val="center"/>
              <w:rPr>
                <w:rFonts w:ascii="宋体" w:hAnsi="宋体"/>
                <w:b/>
                <w:snapToGrid w:val="0"/>
                <w:sz w:val="22"/>
              </w:rPr>
            </w:pPr>
            <w:r>
              <w:rPr>
                <w:rFonts w:ascii="宋体" w:hAnsi="宋体"/>
                <w:b/>
                <w:snapToGrid w:val="0"/>
                <w:sz w:val="22"/>
              </w:rPr>
              <w:t>条款号</w:t>
            </w:r>
          </w:p>
        </w:tc>
        <w:tc>
          <w:tcPr>
            <w:tcW w:w="1364" w:type="dxa"/>
            <w:vAlign w:val="center"/>
          </w:tcPr>
          <w:p>
            <w:pPr>
              <w:snapToGrid w:val="0"/>
              <w:spacing w:line="360" w:lineRule="auto"/>
              <w:jc w:val="center"/>
              <w:rPr>
                <w:rFonts w:ascii="宋体" w:hAnsi="宋体"/>
                <w:b/>
                <w:snapToGrid w:val="0"/>
                <w:sz w:val="22"/>
              </w:rPr>
            </w:pPr>
            <w:r>
              <w:rPr>
                <w:rFonts w:ascii="宋体" w:hAnsi="宋体"/>
                <w:b/>
                <w:snapToGrid w:val="0"/>
                <w:sz w:val="22"/>
              </w:rPr>
              <w:t>条款名称</w:t>
            </w:r>
          </w:p>
        </w:tc>
        <w:tc>
          <w:tcPr>
            <w:tcW w:w="8188" w:type="dxa"/>
            <w:vAlign w:val="center"/>
          </w:tcPr>
          <w:p>
            <w:pPr>
              <w:snapToGrid w:val="0"/>
              <w:spacing w:line="360" w:lineRule="auto"/>
              <w:jc w:val="center"/>
              <w:rPr>
                <w:rFonts w:ascii="宋体" w:hAnsi="宋体"/>
                <w:b/>
                <w:snapToGrid w:val="0"/>
                <w:sz w:val="22"/>
              </w:rPr>
            </w:pPr>
            <w:r>
              <w:rPr>
                <w:rFonts w:ascii="宋体" w:hAnsi="宋体"/>
                <w:b/>
                <w:snapToGrid w:val="0"/>
                <w:sz w:val="22"/>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0" w:type="dxa"/>
            <w:vAlign w:val="center"/>
          </w:tcPr>
          <w:p>
            <w:pPr>
              <w:snapToGrid w:val="0"/>
              <w:spacing w:line="360" w:lineRule="auto"/>
              <w:jc w:val="center"/>
              <w:rPr>
                <w:rFonts w:ascii="宋体" w:hAnsi="宋体"/>
                <w:kern w:val="0"/>
                <w:sz w:val="22"/>
              </w:rPr>
            </w:pPr>
            <w:r>
              <w:rPr>
                <w:rFonts w:ascii="Times New Roman" w:hAnsi="Times New Roman"/>
                <w:kern w:val="0"/>
                <w:sz w:val="22"/>
              </w:rPr>
              <w:t>1</w:t>
            </w:r>
          </w:p>
        </w:tc>
        <w:tc>
          <w:tcPr>
            <w:tcW w:w="1364" w:type="dxa"/>
            <w:vAlign w:val="center"/>
          </w:tcPr>
          <w:p>
            <w:pPr>
              <w:snapToGrid w:val="0"/>
              <w:spacing w:line="360" w:lineRule="auto"/>
              <w:jc w:val="center"/>
              <w:rPr>
                <w:rFonts w:ascii="宋体" w:hAnsi="宋体"/>
                <w:snapToGrid w:val="0"/>
                <w:sz w:val="22"/>
              </w:rPr>
            </w:pPr>
            <w:r>
              <w:rPr>
                <w:rFonts w:ascii="宋体" w:hAnsi="宋体"/>
                <w:snapToGrid w:val="0"/>
                <w:sz w:val="22"/>
              </w:rPr>
              <w:t>比选人</w:t>
            </w:r>
          </w:p>
        </w:tc>
        <w:tc>
          <w:tcPr>
            <w:tcW w:w="8188" w:type="dxa"/>
            <w:vAlign w:val="center"/>
          </w:tcPr>
          <w:p>
            <w:pPr>
              <w:spacing w:line="360" w:lineRule="auto"/>
              <w:ind w:firstLine="420" w:firstLineChars="200"/>
              <w:rPr>
                <w:rFonts w:ascii="宋体" w:hAnsi="宋体"/>
                <w:snapToGrid w:val="0"/>
                <w:szCs w:val="21"/>
              </w:rPr>
            </w:pPr>
            <w:r>
              <w:rPr>
                <w:rFonts w:hint="eastAsia" w:ascii="宋体" w:hAnsi="宋体"/>
                <w:snapToGrid w:val="0"/>
                <w:szCs w:val="21"/>
              </w:rPr>
              <w:t>比  选  人：重庆市上桥粮食中转库有限责任公司</w:t>
            </w:r>
          </w:p>
          <w:p>
            <w:pPr>
              <w:spacing w:line="360" w:lineRule="auto"/>
              <w:ind w:firstLine="420" w:firstLineChars="200"/>
              <w:rPr>
                <w:rFonts w:ascii="宋体" w:hAnsi="宋体"/>
                <w:snapToGrid w:val="0"/>
                <w:szCs w:val="21"/>
              </w:rPr>
            </w:pPr>
            <w:r>
              <w:rPr>
                <w:rFonts w:hint="eastAsia" w:ascii="宋体" w:hAnsi="宋体"/>
                <w:snapToGrid w:val="0"/>
                <w:szCs w:val="21"/>
              </w:rPr>
              <w:t>地    址：重庆市高新区白市驿镇高田坎村66号</w:t>
            </w:r>
          </w:p>
          <w:p>
            <w:pPr>
              <w:spacing w:line="360" w:lineRule="auto"/>
              <w:ind w:firstLine="420" w:firstLineChars="200"/>
              <w:rPr>
                <w:rFonts w:ascii="宋体" w:hAnsi="宋体"/>
                <w:snapToGrid w:val="0"/>
                <w:szCs w:val="21"/>
              </w:rPr>
            </w:pPr>
            <w:r>
              <w:rPr>
                <w:rFonts w:hint="eastAsia" w:ascii="宋体" w:hAnsi="宋体"/>
                <w:snapToGrid w:val="0"/>
                <w:szCs w:val="21"/>
              </w:rPr>
              <w:t xml:space="preserve">联 系 人：谭女士                        </w:t>
            </w:r>
          </w:p>
          <w:p>
            <w:pPr>
              <w:spacing w:line="360" w:lineRule="auto"/>
              <w:ind w:firstLine="420" w:firstLineChars="200"/>
              <w:rPr>
                <w:rFonts w:ascii="宋体" w:hAnsi="宋体"/>
                <w:snapToGrid w:val="0"/>
                <w:sz w:val="22"/>
              </w:rPr>
            </w:pPr>
            <w:r>
              <w:rPr>
                <w:rFonts w:hint="eastAsia" w:ascii="宋体" w:hAnsi="宋体"/>
                <w:snapToGrid w:val="0"/>
                <w:szCs w:val="21"/>
              </w:rPr>
              <w:t>联系电话：</w:t>
            </w:r>
            <w:r>
              <w:rPr>
                <w:rFonts w:hint="eastAsia" w:ascii="Times New Roman" w:hAnsi="Times New Roman"/>
                <w:snapToGrid w:val="0"/>
                <w:szCs w:val="21"/>
              </w:rPr>
              <w:t>023-67301457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0" w:type="dxa"/>
            <w:vAlign w:val="center"/>
          </w:tcPr>
          <w:p>
            <w:pPr>
              <w:snapToGrid w:val="0"/>
              <w:spacing w:line="360" w:lineRule="auto"/>
              <w:jc w:val="center"/>
              <w:rPr>
                <w:rFonts w:ascii="宋体" w:hAnsi="宋体"/>
                <w:kern w:val="0"/>
                <w:sz w:val="22"/>
              </w:rPr>
            </w:pPr>
            <w:r>
              <w:rPr>
                <w:rFonts w:hint="eastAsia" w:ascii="Times New Roman" w:hAnsi="Times New Roman"/>
                <w:kern w:val="0"/>
                <w:sz w:val="22"/>
              </w:rPr>
              <w:t>2</w:t>
            </w:r>
          </w:p>
        </w:tc>
        <w:tc>
          <w:tcPr>
            <w:tcW w:w="1364" w:type="dxa"/>
            <w:vAlign w:val="center"/>
          </w:tcPr>
          <w:p>
            <w:pPr>
              <w:snapToGrid w:val="0"/>
              <w:spacing w:line="360" w:lineRule="auto"/>
              <w:jc w:val="center"/>
              <w:rPr>
                <w:rFonts w:ascii="宋体" w:hAnsi="宋体"/>
                <w:kern w:val="0"/>
                <w:sz w:val="22"/>
              </w:rPr>
            </w:pPr>
            <w:r>
              <w:rPr>
                <w:rFonts w:ascii="宋体" w:hAnsi="宋体"/>
                <w:kern w:val="0"/>
                <w:sz w:val="22"/>
              </w:rPr>
              <w:t>项目名称</w:t>
            </w:r>
          </w:p>
        </w:tc>
        <w:tc>
          <w:tcPr>
            <w:tcW w:w="8188" w:type="dxa"/>
            <w:vAlign w:val="center"/>
          </w:tcPr>
          <w:p>
            <w:pPr>
              <w:adjustRightInd w:val="0"/>
              <w:snapToGrid w:val="0"/>
              <w:spacing w:line="360" w:lineRule="auto"/>
              <w:ind w:left="399" w:leftChars="190"/>
              <w:rPr>
                <w:rFonts w:hint="eastAsia" w:ascii="宋体" w:hAnsi="宋体" w:eastAsia="宋体"/>
                <w:sz w:val="22"/>
                <w:lang w:eastAsia="zh-CN"/>
              </w:rPr>
            </w:pPr>
            <w:r>
              <w:rPr>
                <w:rFonts w:hint="eastAsia" w:ascii="宋体" w:hAnsi="宋体"/>
                <w:sz w:val="22"/>
              </w:rPr>
              <w:t>补充医疗保险项目</w:t>
            </w:r>
            <w:r>
              <w:rPr>
                <w:rFonts w:hint="eastAsia" w:ascii="宋体" w:hAnsi="宋体"/>
                <w:sz w:val="22"/>
                <w:lang w:eastAsia="zh-CN"/>
              </w:rPr>
              <w:t>（第二次）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0" w:type="dxa"/>
            <w:vAlign w:val="center"/>
          </w:tcPr>
          <w:p>
            <w:pPr>
              <w:snapToGrid w:val="0"/>
              <w:spacing w:line="360" w:lineRule="auto"/>
              <w:jc w:val="center"/>
              <w:rPr>
                <w:rFonts w:ascii="宋体" w:hAnsi="宋体"/>
                <w:kern w:val="0"/>
                <w:sz w:val="22"/>
              </w:rPr>
            </w:pPr>
            <w:r>
              <w:rPr>
                <w:rFonts w:hint="eastAsia" w:ascii="Times New Roman" w:hAnsi="Times New Roman"/>
                <w:kern w:val="0"/>
                <w:sz w:val="22"/>
              </w:rPr>
              <w:t>3</w:t>
            </w:r>
          </w:p>
        </w:tc>
        <w:tc>
          <w:tcPr>
            <w:tcW w:w="1364" w:type="dxa"/>
            <w:vAlign w:val="center"/>
          </w:tcPr>
          <w:p>
            <w:pPr>
              <w:snapToGrid w:val="0"/>
              <w:spacing w:line="360" w:lineRule="auto"/>
              <w:jc w:val="center"/>
              <w:rPr>
                <w:rFonts w:ascii="宋体" w:hAnsi="宋体"/>
                <w:kern w:val="0"/>
                <w:sz w:val="22"/>
              </w:rPr>
            </w:pPr>
            <w:r>
              <w:rPr>
                <w:rFonts w:hint="eastAsia" w:ascii="宋体" w:hAnsi="宋体"/>
                <w:snapToGrid w:val="0"/>
                <w:sz w:val="22"/>
              </w:rPr>
              <w:t>服务内容</w:t>
            </w:r>
          </w:p>
        </w:tc>
        <w:tc>
          <w:tcPr>
            <w:tcW w:w="8188" w:type="dxa"/>
            <w:vAlign w:val="center"/>
          </w:tcPr>
          <w:p>
            <w:pPr>
              <w:adjustRightInd w:val="0"/>
              <w:snapToGrid w:val="0"/>
              <w:spacing w:line="360" w:lineRule="auto"/>
              <w:ind w:firstLine="440" w:firstLineChars="200"/>
              <w:rPr>
                <w:rFonts w:ascii="宋体" w:hAnsi="宋体"/>
                <w:sz w:val="22"/>
              </w:rPr>
            </w:pPr>
            <w:r>
              <w:rPr>
                <w:rFonts w:hint="eastAsia" w:ascii="宋体" w:hAnsi="宋体"/>
                <w:sz w:val="22"/>
              </w:rPr>
              <w:t>同比选公告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0" w:type="dxa"/>
            <w:vAlign w:val="center"/>
          </w:tcPr>
          <w:p>
            <w:pPr>
              <w:snapToGrid w:val="0"/>
              <w:spacing w:line="360" w:lineRule="auto"/>
              <w:jc w:val="center"/>
              <w:rPr>
                <w:rFonts w:ascii="宋体" w:hAnsi="宋体"/>
                <w:sz w:val="22"/>
              </w:rPr>
            </w:pPr>
            <w:r>
              <w:rPr>
                <w:rFonts w:hint="eastAsia" w:ascii="Times New Roman" w:hAnsi="Times New Roman"/>
                <w:sz w:val="22"/>
              </w:rPr>
              <w:t>4</w:t>
            </w:r>
          </w:p>
        </w:tc>
        <w:tc>
          <w:tcPr>
            <w:tcW w:w="1364" w:type="dxa"/>
            <w:vAlign w:val="center"/>
          </w:tcPr>
          <w:p>
            <w:pPr>
              <w:snapToGrid w:val="0"/>
              <w:spacing w:line="360" w:lineRule="auto"/>
              <w:jc w:val="center"/>
              <w:rPr>
                <w:rFonts w:ascii="宋体" w:hAnsi="宋体"/>
                <w:sz w:val="22"/>
              </w:rPr>
            </w:pPr>
            <w:r>
              <w:rPr>
                <w:rFonts w:ascii="宋体" w:hAnsi="宋体"/>
                <w:sz w:val="22"/>
              </w:rPr>
              <w:t>资金来源</w:t>
            </w:r>
          </w:p>
        </w:tc>
        <w:tc>
          <w:tcPr>
            <w:tcW w:w="8188" w:type="dxa"/>
            <w:vAlign w:val="center"/>
          </w:tcPr>
          <w:p>
            <w:pPr>
              <w:adjustRightInd w:val="0"/>
              <w:snapToGrid w:val="0"/>
              <w:spacing w:line="360" w:lineRule="auto"/>
              <w:ind w:firstLine="440" w:firstLineChars="200"/>
              <w:rPr>
                <w:rFonts w:ascii="宋体" w:hAnsi="宋体"/>
                <w:sz w:val="22"/>
              </w:rPr>
            </w:pPr>
            <w:r>
              <w:rPr>
                <w:rFonts w:ascii="宋体" w:hAnsi="宋体"/>
                <w:sz w:val="22"/>
              </w:rPr>
              <w:t>企业自筹。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0" w:type="dxa"/>
            <w:vAlign w:val="center"/>
          </w:tcPr>
          <w:p>
            <w:pPr>
              <w:snapToGrid w:val="0"/>
              <w:spacing w:line="360" w:lineRule="auto"/>
              <w:jc w:val="center"/>
              <w:rPr>
                <w:rFonts w:ascii="宋体" w:hAnsi="宋体"/>
                <w:kern w:val="0"/>
                <w:sz w:val="22"/>
              </w:rPr>
            </w:pPr>
            <w:r>
              <w:rPr>
                <w:rFonts w:hint="eastAsia" w:ascii="Times New Roman" w:hAnsi="Times New Roman"/>
                <w:kern w:val="0"/>
                <w:sz w:val="22"/>
              </w:rPr>
              <w:t>5</w:t>
            </w:r>
          </w:p>
        </w:tc>
        <w:tc>
          <w:tcPr>
            <w:tcW w:w="1364" w:type="dxa"/>
            <w:vAlign w:val="center"/>
          </w:tcPr>
          <w:p>
            <w:pPr>
              <w:snapToGrid w:val="0"/>
              <w:spacing w:line="360" w:lineRule="auto"/>
              <w:jc w:val="center"/>
              <w:rPr>
                <w:rFonts w:ascii="宋体" w:hAnsi="宋体"/>
                <w:kern w:val="0"/>
                <w:sz w:val="22"/>
              </w:rPr>
            </w:pPr>
            <w:r>
              <w:rPr>
                <w:rFonts w:ascii="宋体" w:hAnsi="宋体"/>
                <w:kern w:val="0"/>
                <w:sz w:val="22"/>
              </w:rPr>
              <w:t>资金落实情况</w:t>
            </w:r>
          </w:p>
        </w:tc>
        <w:tc>
          <w:tcPr>
            <w:tcW w:w="8188" w:type="dxa"/>
            <w:vAlign w:val="center"/>
          </w:tcPr>
          <w:p>
            <w:pPr>
              <w:adjustRightInd w:val="0"/>
              <w:snapToGrid w:val="0"/>
              <w:spacing w:line="360" w:lineRule="auto"/>
              <w:ind w:firstLine="440" w:firstLineChars="200"/>
              <w:rPr>
                <w:rFonts w:ascii="宋体" w:hAnsi="宋体"/>
                <w:sz w:val="22"/>
              </w:rPr>
            </w:pPr>
            <w:r>
              <w:rPr>
                <w:rFonts w:ascii="宋体" w:hAnsi="宋体"/>
                <w:sz w:val="22"/>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jc w:val="center"/>
        </w:trPr>
        <w:tc>
          <w:tcPr>
            <w:tcW w:w="850" w:type="dxa"/>
            <w:vAlign w:val="center"/>
          </w:tcPr>
          <w:p>
            <w:pPr>
              <w:snapToGrid w:val="0"/>
              <w:spacing w:line="360" w:lineRule="auto"/>
              <w:jc w:val="center"/>
              <w:rPr>
                <w:rFonts w:ascii="宋体" w:hAnsi="宋体"/>
                <w:kern w:val="0"/>
                <w:sz w:val="22"/>
              </w:rPr>
            </w:pPr>
            <w:r>
              <w:rPr>
                <w:rFonts w:hint="eastAsia" w:ascii="Times New Roman" w:hAnsi="Times New Roman"/>
                <w:kern w:val="0"/>
                <w:sz w:val="22"/>
              </w:rPr>
              <w:t>6</w:t>
            </w:r>
          </w:p>
        </w:tc>
        <w:tc>
          <w:tcPr>
            <w:tcW w:w="1364" w:type="dxa"/>
            <w:vAlign w:val="center"/>
          </w:tcPr>
          <w:p>
            <w:pPr>
              <w:snapToGrid w:val="0"/>
              <w:spacing w:line="360" w:lineRule="auto"/>
              <w:jc w:val="center"/>
              <w:rPr>
                <w:rFonts w:ascii="宋体" w:hAnsi="宋体"/>
                <w:kern w:val="0"/>
                <w:sz w:val="22"/>
              </w:rPr>
            </w:pPr>
            <w:r>
              <w:rPr>
                <w:rFonts w:hint="eastAsia" w:ascii="宋体" w:hAnsi="宋体"/>
                <w:kern w:val="0"/>
                <w:sz w:val="22"/>
              </w:rPr>
              <w:t>服务期</w:t>
            </w:r>
          </w:p>
        </w:tc>
        <w:tc>
          <w:tcPr>
            <w:tcW w:w="8188" w:type="dxa"/>
            <w:vAlign w:val="center"/>
          </w:tcPr>
          <w:p>
            <w:pPr>
              <w:adjustRightInd w:val="0"/>
              <w:snapToGrid w:val="0"/>
              <w:spacing w:line="360" w:lineRule="auto"/>
              <w:ind w:firstLine="440" w:firstLineChars="200"/>
              <w:rPr>
                <w:rFonts w:ascii="宋体" w:hAnsi="宋体"/>
                <w:sz w:val="22"/>
              </w:rPr>
            </w:pPr>
            <w:r>
              <w:rPr>
                <w:rFonts w:hint="eastAsia" w:ascii="宋体" w:hAnsi="宋体"/>
                <w:color w:val="auto"/>
                <w:sz w:val="22"/>
                <w:highlight w:val="none"/>
              </w:rPr>
              <w:t>一年（具体服务时间为2024年1月1日-2024年12月31日）</w:t>
            </w:r>
            <w:r>
              <w:rPr>
                <w:rFonts w:hint="eastAsia"/>
                <w:color w:val="auto"/>
                <w:highlight w:val="none"/>
              </w:rPr>
              <w:t>一年到期后比选人根据中选人服务情况</w:t>
            </w:r>
            <w:r>
              <w:rPr>
                <w:rFonts w:hint="eastAsia"/>
              </w:rPr>
              <w:t>选择是否续签，本项目最多可续签两次。在服务期限内，比选人有权对每年度项目明细、服务期限进行适当调整或终止合同关系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6" w:hRule="atLeast"/>
          <w:jc w:val="center"/>
        </w:trPr>
        <w:tc>
          <w:tcPr>
            <w:tcW w:w="850" w:type="dxa"/>
            <w:vAlign w:val="center"/>
          </w:tcPr>
          <w:p>
            <w:pPr>
              <w:snapToGrid w:val="0"/>
              <w:spacing w:line="360" w:lineRule="auto"/>
              <w:jc w:val="center"/>
              <w:rPr>
                <w:rFonts w:ascii="宋体" w:hAnsi="宋体"/>
                <w:kern w:val="0"/>
                <w:sz w:val="22"/>
              </w:rPr>
            </w:pPr>
            <w:r>
              <w:rPr>
                <w:rFonts w:hint="eastAsia" w:ascii="Times New Roman" w:hAnsi="Times New Roman"/>
                <w:kern w:val="0"/>
                <w:sz w:val="22"/>
              </w:rPr>
              <w:t>7</w:t>
            </w:r>
          </w:p>
        </w:tc>
        <w:tc>
          <w:tcPr>
            <w:tcW w:w="1364" w:type="dxa"/>
            <w:vAlign w:val="center"/>
          </w:tcPr>
          <w:p>
            <w:pPr>
              <w:snapToGrid w:val="0"/>
              <w:spacing w:line="360" w:lineRule="auto"/>
              <w:jc w:val="center"/>
              <w:rPr>
                <w:rFonts w:ascii="宋体" w:hAnsi="宋体"/>
                <w:kern w:val="0"/>
                <w:sz w:val="22"/>
              </w:rPr>
            </w:pPr>
            <w:r>
              <w:rPr>
                <w:rFonts w:ascii="宋体" w:hAnsi="宋体"/>
                <w:kern w:val="0"/>
                <w:sz w:val="22"/>
              </w:rPr>
              <w:t>应选人资质条件、能力和信誉</w:t>
            </w:r>
          </w:p>
        </w:tc>
        <w:tc>
          <w:tcPr>
            <w:tcW w:w="8188" w:type="dxa"/>
            <w:vAlign w:val="center"/>
          </w:tcPr>
          <w:p>
            <w:pPr>
              <w:tabs>
                <w:tab w:val="left" w:pos="900"/>
              </w:tabs>
              <w:spacing w:line="400" w:lineRule="exact"/>
              <w:ind w:firstLine="421"/>
            </w:pPr>
            <w:r>
              <w:rPr>
                <w:rFonts w:hint="eastAsia"/>
              </w:rPr>
              <w:t>本次比选实行资格后审，应选人须满足下列资格条件要求，否则，其资格审查结果为不合格，作否决应选处理：</w:t>
            </w:r>
          </w:p>
          <w:p>
            <w:pPr>
              <w:tabs>
                <w:tab w:val="left" w:pos="900"/>
              </w:tabs>
              <w:spacing w:line="400" w:lineRule="exact"/>
              <w:ind w:firstLine="421"/>
            </w:pPr>
            <w:r>
              <w:rPr>
                <w:rFonts w:hint="eastAsia"/>
              </w:rPr>
              <w:t>（一）基本资格条件</w:t>
            </w:r>
          </w:p>
          <w:p>
            <w:pPr>
              <w:tabs>
                <w:tab w:val="left" w:pos="900"/>
              </w:tabs>
              <w:spacing w:line="400" w:lineRule="exact"/>
              <w:ind w:firstLine="421"/>
            </w:pPr>
            <w:r>
              <w:rPr>
                <w:rFonts w:hint="eastAsia"/>
              </w:rPr>
              <w:t>1.具有独立承担民事责任的能力；</w:t>
            </w:r>
          </w:p>
          <w:p>
            <w:pPr>
              <w:tabs>
                <w:tab w:val="left" w:pos="900"/>
              </w:tabs>
              <w:spacing w:line="400" w:lineRule="exact"/>
              <w:ind w:firstLine="421"/>
            </w:pPr>
            <w:r>
              <w:rPr>
                <w:rFonts w:hint="eastAsia"/>
              </w:rPr>
              <w:t>2.具有良好的商业信誉和健全的财务会计制度；</w:t>
            </w:r>
          </w:p>
          <w:p>
            <w:pPr>
              <w:tabs>
                <w:tab w:val="left" w:pos="900"/>
              </w:tabs>
              <w:spacing w:line="400" w:lineRule="exact"/>
              <w:ind w:firstLine="421"/>
            </w:pPr>
            <w:r>
              <w:rPr>
                <w:rFonts w:hint="eastAsia"/>
              </w:rPr>
              <w:t>3.具有履行合同所必需的材料资源、售后保障等能力；</w:t>
            </w:r>
          </w:p>
          <w:p>
            <w:pPr>
              <w:tabs>
                <w:tab w:val="left" w:pos="900"/>
              </w:tabs>
              <w:spacing w:line="400" w:lineRule="exact"/>
              <w:ind w:firstLine="421"/>
            </w:pPr>
            <w:r>
              <w:rPr>
                <w:rFonts w:hint="eastAsia"/>
              </w:rPr>
              <w:t>4.有依法缴纳税收和社会保障资金的良好记录；</w:t>
            </w:r>
          </w:p>
          <w:p>
            <w:pPr>
              <w:tabs>
                <w:tab w:val="left" w:pos="900"/>
              </w:tabs>
              <w:spacing w:line="400" w:lineRule="exact"/>
              <w:ind w:firstLine="421"/>
            </w:pPr>
            <w:r>
              <w:rPr>
                <w:rFonts w:hint="eastAsia"/>
              </w:rPr>
              <w:t>5.参加本次比选活动近三年内，在经营活动中没有重大违法记录。</w:t>
            </w:r>
          </w:p>
          <w:p>
            <w:pPr>
              <w:tabs>
                <w:tab w:val="left" w:pos="900"/>
              </w:tabs>
              <w:spacing w:line="400" w:lineRule="exact"/>
              <w:ind w:firstLine="421"/>
            </w:pPr>
            <w:r>
              <w:rPr>
                <w:rFonts w:hint="eastAsia"/>
              </w:rPr>
              <w:t>注：应选人须提供承诺函对以上基本资格条件进行承诺，格式自拟并加盖应选人单位公章（鲜章）。</w:t>
            </w:r>
          </w:p>
          <w:p>
            <w:pPr>
              <w:tabs>
                <w:tab w:val="left" w:pos="900"/>
              </w:tabs>
              <w:spacing w:line="400" w:lineRule="exact"/>
              <w:ind w:firstLine="421"/>
            </w:pPr>
            <w:r>
              <w:rPr>
                <w:rFonts w:hint="eastAsia"/>
              </w:rPr>
              <w:t>（二）特定资格条件</w:t>
            </w:r>
          </w:p>
          <w:p>
            <w:pPr>
              <w:tabs>
                <w:tab w:val="left" w:pos="900"/>
              </w:tabs>
              <w:spacing w:line="400" w:lineRule="exact"/>
              <w:ind w:firstLine="421"/>
            </w:pPr>
            <w:r>
              <w:rPr>
                <w:rFonts w:hint="eastAsia"/>
              </w:rPr>
              <w:t>1.应选人具有独立法人资格或为经总公司唯一授权的省级（或直辖市）分公司；</w:t>
            </w:r>
          </w:p>
          <w:p>
            <w:pPr>
              <w:tabs>
                <w:tab w:val="left" w:pos="900"/>
              </w:tabs>
              <w:spacing w:line="400" w:lineRule="exact"/>
              <w:ind w:firstLine="421"/>
            </w:pPr>
            <w:r>
              <w:rPr>
                <w:rFonts w:hint="eastAsia"/>
              </w:rPr>
              <w:t>注：提供有效的营业执照副本复印件并加盖应选人公章（如为分公司应选，需提供总公司独立法人单位和省级（或直辖市）分公司营业执照复印件并加盖应选人公章）。</w:t>
            </w:r>
          </w:p>
          <w:p>
            <w:pPr>
              <w:tabs>
                <w:tab w:val="left" w:pos="900"/>
              </w:tabs>
              <w:spacing w:line="400" w:lineRule="exact"/>
              <w:ind w:firstLine="421"/>
            </w:pPr>
            <w:r>
              <w:rPr>
                <w:rFonts w:hint="eastAsia"/>
              </w:rPr>
              <w:t>2.应选人（或其总公司）具有中国保险监督管理委员会或中国银行保险监督管理委员会核发的《经营保险业务许可证》；</w:t>
            </w:r>
          </w:p>
          <w:p>
            <w:pPr>
              <w:tabs>
                <w:tab w:val="left" w:pos="900"/>
              </w:tabs>
              <w:spacing w:line="400" w:lineRule="exact"/>
              <w:ind w:firstLine="421"/>
            </w:pPr>
            <w:r>
              <w:rPr>
                <w:rFonts w:hint="eastAsia"/>
              </w:rPr>
              <w:t>注：提供有效的经营保险业务业务许可证复印件。</w:t>
            </w:r>
          </w:p>
          <w:p>
            <w:pPr>
              <w:tabs>
                <w:tab w:val="left" w:pos="900"/>
              </w:tabs>
              <w:spacing w:line="400" w:lineRule="exact"/>
              <w:ind w:firstLine="421"/>
            </w:pPr>
            <w:r>
              <w:rPr>
                <w:rFonts w:hint="eastAsia"/>
              </w:rPr>
              <w:t>3.提供的医疗保险产品必须经过中国银保监协会备案；</w:t>
            </w:r>
          </w:p>
          <w:p>
            <w:pPr>
              <w:tabs>
                <w:tab w:val="left" w:pos="900"/>
              </w:tabs>
              <w:spacing w:line="400" w:lineRule="exact"/>
              <w:ind w:firstLine="421"/>
            </w:pPr>
            <w:r>
              <w:rPr>
                <w:rFonts w:hint="eastAsia"/>
              </w:rPr>
              <w:t>注：产品备案须提供中国银保监会网站查询截图并加盖应选人公章。</w:t>
            </w:r>
          </w:p>
          <w:p>
            <w:pPr>
              <w:spacing w:line="276" w:lineRule="auto"/>
              <w:ind w:firstLine="420" w:firstLineChars="200"/>
            </w:pPr>
            <w:r>
              <w:rPr>
                <w:rFonts w:hint="eastAsia"/>
                <w:highlight w:val="none"/>
              </w:rPr>
              <w:t>4.应选人具有近三年（合同签订时间为2021年1月1日起至比选截止之日止）单价超过6</w:t>
            </w:r>
            <w:r>
              <w:rPr>
                <w:highlight w:val="none"/>
              </w:rPr>
              <w:t>0</w:t>
            </w:r>
            <w:r>
              <w:rPr>
                <w:rFonts w:hint="eastAsia"/>
                <w:highlight w:val="none"/>
              </w:rPr>
              <w:t>万的同类保险业</w:t>
            </w:r>
            <w:r>
              <w:rPr>
                <w:rFonts w:hint="eastAsia"/>
              </w:rPr>
              <w:t>绩至少一个。</w:t>
            </w:r>
          </w:p>
          <w:p>
            <w:pPr>
              <w:spacing w:line="276" w:lineRule="auto"/>
              <w:ind w:firstLine="420" w:firstLineChars="200"/>
            </w:pPr>
            <w:r>
              <w:rPr>
                <w:rFonts w:hint="eastAsia"/>
              </w:rPr>
              <w:t>注：</w:t>
            </w:r>
            <w:r>
              <w:rPr>
                <w:rFonts w:hint="eastAsia"/>
                <w:lang w:val="zh-TW"/>
              </w:rPr>
              <w:t>提供业绩合同或中选</w:t>
            </w:r>
            <w:r>
              <w:rPr>
                <w:rFonts w:hint="eastAsia"/>
              </w:rPr>
              <w:t>/标</w:t>
            </w:r>
            <w:r>
              <w:rPr>
                <w:rFonts w:hint="eastAsia"/>
                <w:lang w:val="zh-TW"/>
              </w:rPr>
              <w:t>文件复印件加盖</w:t>
            </w:r>
            <w:r>
              <w:rPr>
                <w:rFonts w:hint="eastAsia"/>
              </w:rPr>
              <w:t>应选人</w:t>
            </w:r>
            <w:r>
              <w:rPr>
                <w:rFonts w:hint="eastAsia"/>
                <w:lang w:val="zh-TW"/>
              </w:rPr>
              <w:t>单位</w:t>
            </w:r>
            <w:r>
              <w:rPr>
                <w:rFonts w:hint="eastAsia"/>
              </w:rPr>
              <w:t>公</w:t>
            </w:r>
            <w:r>
              <w:rPr>
                <w:rFonts w:hint="eastAsia"/>
                <w:lang w:val="zh-TW"/>
              </w:rPr>
              <w:t>章。</w:t>
            </w:r>
          </w:p>
          <w:p>
            <w:pPr>
              <w:tabs>
                <w:tab w:val="left" w:pos="900"/>
              </w:tabs>
              <w:spacing w:line="400" w:lineRule="exact"/>
              <w:ind w:firstLine="421"/>
            </w:pPr>
            <w:r>
              <w:rPr>
                <w:rFonts w:hint="eastAsia"/>
              </w:rPr>
              <w:t>5.需配备充足、稳定、高素质的项目经理和专业团队，并在合同期内保持相对稳定，确保能够提供专业、高效的保险理赔服务。</w:t>
            </w:r>
          </w:p>
          <w:p>
            <w:pPr>
              <w:tabs>
                <w:tab w:val="left" w:pos="900"/>
              </w:tabs>
              <w:spacing w:line="400" w:lineRule="exact"/>
              <w:ind w:firstLine="421"/>
            </w:pPr>
            <w:r>
              <w:rPr>
                <w:rFonts w:hint="eastAsia"/>
              </w:rPr>
              <w:t xml:space="preserve">   注：提供承诺函，格式自拟</w:t>
            </w:r>
            <w:r>
              <w:rPr>
                <w:rFonts w:hint="eastAsia"/>
                <w:lang w:val="zh-TW"/>
              </w:rPr>
              <w:t>加盖</w:t>
            </w:r>
            <w:r>
              <w:rPr>
                <w:rFonts w:hint="eastAsia"/>
              </w:rPr>
              <w:t>应选人</w:t>
            </w:r>
            <w:r>
              <w:rPr>
                <w:rFonts w:hint="eastAsia"/>
                <w:lang w:val="zh-TW"/>
              </w:rPr>
              <w:t>单位</w:t>
            </w:r>
            <w:r>
              <w:rPr>
                <w:rFonts w:hint="eastAsia"/>
              </w:rPr>
              <w:t>公</w:t>
            </w:r>
            <w:r>
              <w:rPr>
                <w:rFonts w:hint="eastAsia"/>
                <w:lang w:val="zh-TW"/>
              </w:rPr>
              <w:t>章</w:t>
            </w:r>
            <w:r>
              <w:rPr>
                <w:rFonts w:hint="eastAsia"/>
              </w:rPr>
              <w:t>。</w:t>
            </w:r>
          </w:p>
          <w:p>
            <w:pPr>
              <w:tabs>
                <w:tab w:val="left" w:pos="900"/>
              </w:tabs>
              <w:spacing w:line="400" w:lineRule="exact"/>
              <w:ind w:firstLine="421"/>
            </w:pPr>
            <w:r>
              <w:rPr>
                <w:rFonts w:hint="eastAsia"/>
              </w:rPr>
              <w:t>6.近三年内无违反执业道德和违法执业行为；</w:t>
            </w:r>
          </w:p>
          <w:p>
            <w:pPr>
              <w:tabs>
                <w:tab w:val="left" w:pos="900"/>
              </w:tabs>
              <w:spacing w:line="400" w:lineRule="exact"/>
              <w:ind w:firstLine="421"/>
            </w:pPr>
            <w:r>
              <w:rPr>
                <w:rFonts w:hint="eastAsia"/>
              </w:rPr>
              <w:t xml:space="preserve">   注：提供承诺函，格式自拟</w:t>
            </w:r>
            <w:r>
              <w:rPr>
                <w:rFonts w:hint="eastAsia"/>
                <w:lang w:val="zh-TW"/>
              </w:rPr>
              <w:t>加盖</w:t>
            </w:r>
            <w:r>
              <w:rPr>
                <w:rFonts w:hint="eastAsia"/>
              </w:rPr>
              <w:t>应选人</w:t>
            </w:r>
            <w:r>
              <w:rPr>
                <w:rFonts w:hint="eastAsia"/>
                <w:lang w:val="zh-TW"/>
              </w:rPr>
              <w:t>单位</w:t>
            </w:r>
            <w:r>
              <w:rPr>
                <w:rFonts w:hint="eastAsia"/>
              </w:rPr>
              <w:t>公</w:t>
            </w:r>
            <w:r>
              <w:rPr>
                <w:rFonts w:hint="eastAsia"/>
                <w:lang w:val="zh-TW"/>
              </w:rPr>
              <w:t>章</w:t>
            </w:r>
            <w:r>
              <w:rPr>
                <w:rFonts w:hint="eastAsia"/>
              </w:rPr>
              <w:t xml:space="preserve">。  </w:t>
            </w:r>
          </w:p>
          <w:p>
            <w:pPr>
              <w:spacing w:line="276" w:lineRule="auto"/>
              <w:ind w:firstLine="420" w:firstLineChars="200"/>
            </w:pPr>
            <w:r>
              <w:rPr>
                <w:rFonts w:hint="eastAsia"/>
              </w:rPr>
              <w:t>7.应选人须具有良好的信誉，在2021年1月1日至今应选人须满足以下信誉要求：</w:t>
            </w:r>
          </w:p>
          <w:p>
            <w:pPr>
              <w:spacing w:line="276" w:lineRule="auto"/>
              <w:ind w:firstLine="420" w:firstLineChars="200"/>
            </w:pPr>
            <w:r>
              <w:rPr>
                <w:rFonts w:hint="eastAsia"/>
              </w:rPr>
              <w:t>（1）无重要毁约、无故弃标的不良记录；</w:t>
            </w:r>
          </w:p>
          <w:p>
            <w:pPr>
              <w:spacing w:line="276" w:lineRule="auto"/>
              <w:ind w:firstLine="420" w:firstLineChars="200"/>
            </w:pPr>
            <w:r>
              <w:rPr>
                <w:rFonts w:hint="eastAsia"/>
              </w:rPr>
              <w:t>（2）无重大质量事故、安全事故记录；</w:t>
            </w:r>
          </w:p>
          <w:p>
            <w:pPr>
              <w:spacing w:line="276" w:lineRule="auto"/>
              <w:ind w:firstLine="420" w:firstLineChars="200"/>
            </w:pPr>
            <w:r>
              <w:rPr>
                <w:rFonts w:hint="eastAsia"/>
              </w:rPr>
              <w:t>（3）没有过以他人名义投标或以其他方式弄虚作假，骗取中选行为；</w:t>
            </w:r>
          </w:p>
          <w:p>
            <w:pPr>
              <w:spacing w:line="276" w:lineRule="auto"/>
              <w:ind w:firstLine="420" w:firstLineChars="200"/>
            </w:pPr>
            <w:r>
              <w:rPr>
                <w:rFonts w:hint="eastAsia"/>
              </w:rPr>
              <w:t>（4）未被责令停业或在破产状态的；</w:t>
            </w:r>
          </w:p>
          <w:p>
            <w:pPr>
              <w:spacing w:line="276" w:lineRule="auto"/>
              <w:ind w:firstLine="420" w:firstLineChars="200"/>
            </w:pPr>
            <w:r>
              <w:rPr>
                <w:rFonts w:hint="eastAsia"/>
              </w:rPr>
              <w:t>（5）财产未被重组、接管、查封、扣押或冻结的；</w:t>
            </w:r>
          </w:p>
          <w:p>
            <w:pPr>
              <w:spacing w:line="276" w:lineRule="auto"/>
              <w:ind w:firstLine="420" w:firstLineChars="200"/>
            </w:pPr>
            <w:r>
              <w:rPr>
                <w:rFonts w:hint="eastAsia"/>
              </w:rPr>
              <w:t>（6）未被最高人民法院在“信用中国”网站或各级信用信息共享平台中列入失信被执行人名单；</w:t>
            </w:r>
          </w:p>
          <w:p>
            <w:pPr>
              <w:spacing w:line="276" w:lineRule="auto"/>
              <w:ind w:firstLine="420" w:firstLineChars="200"/>
            </w:pPr>
            <w:r>
              <w:rPr>
                <w:rFonts w:hint="eastAsia"/>
              </w:rPr>
              <w:t xml:space="preserve">（7）应选人或其法定代表人、拟委任的项目负责人无行贿犯罪行为。 </w:t>
            </w:r>
          </w:p>
          <w:p>
            <w:pPr>
              <w:spacing w:line="276" w:lineRule="auto"/>
              <w:ind w:firstLine="420" w:firstLineChars="200"/>
              <w:rPr>
                <w:lang w:val="zh-TW"/>
              </w:rPr>
            </w:pPr>
            <w:r>
              <w:rPr>
                <w:rFonts w:hint="eastAsia"/>
                <w:lang w:val="zh-TW"/>
              </w:rPr>
              <w:t xml:space="preserve">注：提供承诺函，格式自拟加盖应选人单位公章。  </w:t>
            </w:r>
          </w:p>
          <w:p>
            <w:pPr>
              <w:spacing w:line="276" w:lineRule="auto"/>
              <w:ind w:firstLine="422" w:firstLineChars="200"/>
            </w:pPr>
            <w:r>
              <w:rPr>
                <w:rFonts w:hint="eastAsia"/>
                <w:b/>
                <w:bCs/>
              </w:rPr>
              <w:t>应选人</w:t>
            </w:r>
            <w:r>
              <w:rPr>
                <w:rFonts w:hint="eastAsia"/>
                <w:b/>
                <w:bCs/>
                <w:lang w:val="zh-TW"/>
              </w:rPr>
              <w:t>对其</w:t>
            </w:r>
            <w:r>
              <w:rPr>
                <w:rFonts w:hint="eastAsia"/>
                <w:b/>
                <w:bCs/>
              </w:rPr>
              <w:t>提供的资料</w:t>
            </w:r>
            <w:r>
              <w:rPr>
                <w:rFonts w:hint="eastAsia"/>
                <w:b/>
                <w:bCs/>
                <w:lang w:val="zh-TW"/>
              </w:rPr>
              <w:t>真实性负责，如提供虚假材料，一经查实，则取消</w:t>
            </w:r>
            <w:r>
              <w:rPr>
                <w:rFonts w:hint="eastAsia"/>
                <w:b/>
                <w:bCs/>
              </w:rPr>
              <w:t>应选</w:t>
            </w:r>
            <w:r>
              <w:rPr>
                <w:rFonts w:hint="eastAsia"/>
                <w:b/>
                <w:bCs/>
                <w:lang w:val="zh-TW"/>
              </w:rPr>
              <w:t>资格或中</w:t>
            </w:r>
            <w:r>
              <w:rPr>
                <w:rFonts w:hint="eastAsia"/>
                <w:b/>
                <w:bCs/>
              </w:rPr>
              <w:t>选</w:t>
            </w:r>
            <w:r>
              <w:rPr>
                <w:rFonts w:hint="eastAsia"/>
                <w:b/>
                <w:bCs/>
                <w:lang w:val="zh-TW"/>
              </w:rPr>
              <w:t>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0" w:type="dxa"/>
            <w:vAlign w:val="center"/>
          </w:tcPr>
          <w:p>
            <w:pPr>
              <w:snapToGrid w:val="0"/>
              <w:spacing w:line="360" w:lineRule="auto"/>
              <w:jc w:val="center"/>
              <w:rPr>
                <w:rFonts w:ascii="宋体" w:hAnsi="宋体"/>
                <w:kern w:val="0"/>
                <w:sz w:val="22"/>
              </w:rPr>
            </w:pPr>
            <w:r>
              <w:rPr>
                <w:rFonts w:hint="eastAsia" w:ascii="宋体" w:hAnsi="宋体"/>
                <w:kern w:val="0"/>
                <w:sz w:val="22"/>
              </w:rPr>
              <w:t>8</w:t>
            </w:r>
          </w:p>
        </w:tc>
        <w:tc>
          <w:tcPr>
            <w:tcW w:w="1364" w:type="dxa"/>
            <w:vAlign w:val="center"/>
          </w:tcPr>
          <w:p>
            <w:pPr>
              <w:snapToGrid w:val="0"/>
              <w:spacing w:line="360" w:lineRule="auto"/>
              <w:jc w:val="center"/>
              <w:rPr>
                <w:rFonts w:ascii="宋体" w:hAnsi="宋体"/>
                <w:kern w:val="0"/>
                <w:sz w:val="22"/>
              </w:rPr>
            </w:pPr>
            <w:r>
              <w:rPr>
                <w:rFonts w:hint="eastAsia" w:ascii="宋体" w:hAnsi="宋体"/>
                <w:kern w:val="0"/>
                <w:sz w:val="22"/>
              </w:rPr>
              <w:t>应选报价</w:t>
            </w:r>
          </w:p>
        </w:tc>
        <w:tc>
          <w:tcPr>
            <w:tcW w:w="8188" w:type="dxa"/>
            <w:vAlign w:val="center"/>
          </w:tcPr>
          <w:p>
            <w:pPr>
              <w:tabs>
                <w:tab w:val="left" w:pos="900"/>
              </w:tabs>
              <w:spacing w:line="400" w:lineRule="exact"/>
              <w:ind w:firstLine="421"/>
            </w:pPr>
            <w:r>
              <w:rPr>
                <w:rFonts w:hint="eastAsia"/>
              </w:rPr>
              <w:t>1.应选报价应完全包含比选文件（含答疑、补遗文件等）要求的比选范围和服务内客。本合同价款采用固定单价合同，报价方式为比选范围内单价包干价，包含税费等所有费用。</w:t>
            </w:r>
          </w:p>
          <w:p>
            <w:pPr>
              <w:tabs>
                <w:tab w:val="left" w:pos="900"/>
              </w:tabs>
              <w:spacing w:line="400" w:lineRule="exact"/>
              <w:ind w:firstLine="421"/>
            </w:pPr>
            <w:r>
              <w:rPr>
                <w:rFonts w:hint="eastAsia"/>
              </w:rPr>
              <w:t>各应选人应根据本比选文件规定的内容，参照比选文件中提供的资料，结合应选人自身能力、市场状况及风险因素，进行报价。若因应选人在应选报价时有漏报、缺项的情况发生，比选人视为应选人已充分理解比选文件要求，漏报、漏项部分的费用增加等均已计入应选报价之中，若中选后签订合同时不予调整。具体要求为：</w:t>
            </w:r>
          </w:p>
          <w:p>
            <w:pPr>
              <w:tabs>
                <w:tab w:val="left" w:pos="900"/>
              </w:tabs>
              <w:spacing w:line="400" w:lineRule="exact"/>
              <w:ind w:firstLine="421"/>
            </w:pPr>
            <w:r>
              <w:rPr>
                <w:rFonts w:hint="eastAsia"/>
              </w:rPr>
              <w:t>（1）项目报价为完成所要求服务的所有价格，应包含完成项目所需的人工费用、管理费及所有相关费用等；保费最终结算价格根据实际参保人数和各类别人员单价确定。</w:t>
            </w:r>
          </w:p>
          <w:p>
            <w:pPr>
              <w:tabs>
                <w:tab w:val="left" w:pos="900"/>
              </w:tabs>
              <w:spacing w:line="400" w:lineRule="exact"/>
              <w:ind w:firstLine="421"/>
            </w:pPr>
            <w:r>
              <w:rPr>
                <w:rFonts w:hint="eastAsia"/>
              </w:rPr>
              <w:t>（2）参与应选的应选人应承担其编制应选文件与递交应选文件所涉及的一切费用，不论结果如何，比选和比选代理机构在任何情况下无义务也无责任承担这些费用。</w:t>
            </w:r>
          </w:p>
          <w:p>
            <w:pPr>
              <w:tabs>
                <w:tab w:val="left" w:pos="900"/>
              </w:tabs>
              <w:spacing w:line="400" w:lineRule="exact"/>
              <w:ind w:firstLine="421"/>
            </w:pPr>
            <w:r>
              <w:rPr>
                <w:rFonts w:hint="eastAsia"/>
              </w:rPr>
              <w:t xml:space="preserve">（3）应选人需在“报价明细表”中按要求填报各项报价明细。 </w:t>
            </w:r>
          </w:p>
          <w:p>
            <w:pPr>
              <w:tabs>
                <w:tab w:val="left" w:pos="900"/>
              </w:tabs>
              <w:spacing w:line="400" w:lineRule="exact"/>
              <w:ind w:firstLine="421"/>
            </w:pPr>
            <w:r>
              <w:rPr>
                <w:rFonts w:hint="eastAsia"/>
              </w:rPr>
              <w:t>（4）本项目比选文件中提供的员工数量为暂估数量，具体数量在合同签订时明确，人员数量变更造成的价格变化应按中标人填报的各项人员单价进行增减，门诊医疗保障管理费按收费比例计算。</w:t>
            </w:r>
          </w:p>
          <w:p>
            <w:pPr>
              <w:tabs>
                <w:tab w:val="left" w:pos="900"/>
              </w:tabs>
              <w:spacing w:line="400" w:lineRule="exact"/>
              <w:ind w:firstLine="421"/>
              <w:rPr>
                <w:rFonts w:ascii="宋体" w:hAnsi="宋体"/>
                <w:b/>
                <w:sz w:val="32"/>
              </w:rPr>
            </w:pPr>
            <w:r>
              <w:rPr>
                <w:rFonts w:hint="eastAsia"/>
                <w:b/>
                <w:bCs/>
              </w:rPr>
              <w:t>2.本项目设最高限价。最高限价为793314.00元/年（团体商业险报价最高限价为2462元/人/年，特定医疗保险金基数为2000元/人.年，医疗保险金管理费1%）。本项目报价仅报一年期保险费，一年到期后比选人根据中选人服务情况选择是否续签。应选人的应选报价不得高于最高限价，否则作否决应选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0" w:type="dxa"/>
            <w:vAlign w:val="center"/>
          </w:tcPr>
          <w:p>
            <w:pPr>
              <w:snapToGrid w:val="0"/>
              <w:spacing w:line="360" w:lineRule="auto"/>
              <w:jc w:val="center"/>
              <w:rPr>
                <w:rFonts w:ascii="宋体" w:hAnsi="宋体"/>
                <w:kern w:val="0"/>
                <w:sz w:val="22"/>
              </w:rPr>
            </w:pPr>
            <w:r>
              <w:rPr>
                <w:rFonts w:hint="eastAsia" w:ascii="宋体" w:hAnsi="宋体"/>
                <w:kern w:val="0"/>
                <w:sz w:val="22"/>
              </w:rPr>
              <w:t>9</w:t>
            </w:r>
          </w:p>
        </w:tc>
        <w:tc>
          <w:tcPr>
            <w:tcW w:w="1364" w:type="dxa"/>
            <w:vAlign w:val="center"/>
          </w:tcPr>
          <w:p>
            <w:pPr>
              <w:snapToGrid w:val="0"/>
              <w:spacing w:line="360" w:lineRule="auto"/>
              <w:jc w:val="center"/>
              <w:rPr>
                <w:rFonts w:ascii="宋体" w:hAnsi="宋体"/>
                <w:kern w:val="0"/>
                <w:sz w:val="22"/>
              </w:rPr>
            </w:pPr>
            <w:r>
              <w:rPr>
                <w:rFonts w:hint="eastAsia" w:ascii="宋体" w:hAnsi="宋体"/>
                <w:kern w:val="0"/>
                <w:sz w:val="22"/>
              </w:rPr>
              <w:t>应选</w:t>
            </w:r>
            <w:r>
              <w:rPr>
                <w:rFonts w:ascii="宋体" w:hAnsi="宋体"/>
                <w:kern w:val="0"/>
                <w:sz w:val="22"/>
              </w:rPr>
              <w:t>文件的份数</w:t>
            </w:r>
          </w:p>
        </w:tc>
        <w:tc>
          <w:tcPr>
            <w:tcW w:w="8188" w:type="dxa"/>
            <w:vAlign w:val="center"/>
          </w:tcPr>
          <w:p>
            <w:pPr>
              <w:spacing w:line="360" w:lineRule="auto"/>
              <w:ind w:firstLine="440" w:firstLineChars="200"/>
              <w:rPr>
                <w:rFonts w:ascii="宋体" w:hAnsi="宋体"/>
                <w:bCs/>
                <w:sz w:val="22"/>
              </w:rPr>
            </w:pPr>
            <w:r>
              <w:rPr>
                <w:rFonts w:hint="eastAsia" w:ascii="宋体" w:hAnsi="宋体" w:cs="宋体"/>
                <w:sz w:val="22"/>
              </w:rPr>
              <w:t>应选文件正本数量：</w:t>
            </w:r>
            <w:r>
              <w:rPr>
                <w:rFonts w:hint="eastAsia" w:ascii="Times New Roman" w:hAnsi="Times New Roman" w:cs="宋体"/>
                <w:sz w:val="22"/>
              </w:rPr>
              <w:t>1</w:t>
            </w:r>
            <w:r>
              <w:rPr>
                <w:rFonts w:hint="eastAsia" w:ascii="宋体" w:hAnsi="宋体" w:cs="宋体"/>
                <w:sz w:val="22"/>
              </w:rPr>
              <w:t>份，副本数量：</w:t>
            </w:r>
            <w:r>
              <w:rPr>
                <w:rFonts w:hint="eastAsia" w:ascii="Times New Roman" w:hAnsi="Times New Roman" w:cs="宋体"/>
                <w:sz w:val="22"/>
              </w:rPr>
              <w:t>2</w:t>
            </w:r>
            <w:r>
              <w:rPr>
                <w:rFonts w:hint="eastAsia" w:ascii="宋体" w:hAnsi="宋体" w:cs="宋体"/>
                <w:sz w:val="22"/>
              </w:rPr>
              <w:t>份；电子文件（U盘）2份。</w:t>
            </w:r>
            <w:r>
              <w:rPr>
                <w:rFonts w:hint="eastAsia" w:ascii="宋体" w:hAnsi="宋体"/>
                <w:sz w:val="22"/>
              </w:rPr>
              <w:t>并予以标明</w:t>
            </w:r>
            <w:r>
              <w:rPr>
                <w:rFonts w:hint="eastAsia" w:ascii="宋体" w:hAnsi="宋体" w:cs="宋体"/>
                <w:sz w:val="22"/>
              </w:rPr>
              <w:t>，</w:t>
            </w:r>
            <w:r>
              <w:rPr>
                <w:rFonts w:hint="eastAsia" w:ascii="宋体" w:hAnsi="宋体"/>
                <w:sz w:val="22"/>
              </w:rPr>
              <w:t>如正、副本有不符之处，以正本为准</w:t>
            </w:r>
            <w:r>
              <w:rPr>
                <w:rFonts w:hint="eastAsia" w:ascii="宋体" w:hAnsi="宋体" w:cs="宋体"/>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0" w:type="dxa"/>
            <w:vAlign w:val="center"/>
          </w:tcPr>
          <w:p>
            <w:pPr>
              <w:snapToGrid w:val="0"/>
              <w:spacing w:line="360" w:lineRule="auto"/>
              <w:jc w:val="center"/>
              <w:rPr>
                <w:rFonts w:ascii="宋体" w:hAnsi="宋体"/>
                <w:kern w:val="0"/>
                <w:sz w:val="22"/>
              </w:rPr>
            </w:pPr>
            <w:r>
              <w:rPr>
                <w:rFonts w:hint="eastAsia" w:ascii="Times New Roman" w:hAnsi="Times New Roman"/>
                <w:kern w:val="0"/>
                <w:sz w:val="22"/>
              </w:rPr>
              <w:t>10</w:t>
            </w:r>
          </w:p>
        </w:tc>
        <w:tc>
          <w:tcPr>
            <w:tcW w:w="1364" w:type="dxa"/>
            <w:vAlign w:val="center"/>
          </w:tcPr>
          <w:p>
            <w:pPr>
              <w:snapToGrid w:val="0"/>
              <w:spacing w:line="360" w:lineRule="auto"/>
              <w:jc w:val="center"/>
              <w:rPr>
                <w:rFonts w:ascii="宋体" w:hAnsi="宋体"/>
                <w:kern w:val="0"/>
                <w:sz w:val="22"/>
              </w:rPr>
            </w:pPr>
            <w:r>
              <w:rPr>
                <w:rFonts w:hint="eastAsia" w:ascii="宋体" w:hAnsi="宋体"/>
                <w:kern w:val="0"/>
                <w:sz w:val="22"/>
              </w:rPr>
              <w:t>应选</w:t>
            </w:r>
            <w:r>
              <w:rPr>
                <w:rFonts w:ascii="宋体" w:hAnsi="宋体"/>
                <w:kern w:val="0"/>
                <w:sz w:val="22"/>
              </w:rPr>
              <w:t>文件编制要求</w:t>
            </w:r>
          </w:p>
        </w:tc>
        <w:tc>
          <w:tcPr>
            <w:tcW w:w="8188" w:type="dxa"/>
            <w:vAlign w:val="center"/>
          </w:tcPr>
          <w:p>
            <w:pPr>
              <w:snapToGrid w:val="0"/>
              <w:spacing w:line="360" w:lineRule="auto"/>
              <w:ind w:firstLine="440" w:firstLineChars="200"/>
              <w:rPr>
                <w:rFonts w:ascii="宋体" w:hAnsi="宋体"/>
                <w:sz w:val="22"/>
              </w:rPr>
            </w:pPr>
            <w:r>
              <w:rPr>
                <w:rFonts w:hint="eastAsia" w:ascii="宋体" w:hAnsi="宋体"/>
                <w:sz w:val="22"/>
              </w:rPr>
              <w:t>应选文件应使用简体中文，报价以人民币标价，用</w:t>
            </w:r>
            <w:r>
              <w:rPr>
                <w:rFonts w:hint="eastAsia" w:ascii="Times New Roman" w:hAnsi="Times New Roman"/>
                <w:sz w:val="22"/>
              </w:rPr>
              <w:t>A4</w:t>
            </w:r>
            <w:r>
              <w:rPr>
                <w:rFonts w:hint="eastAsia" w:ascii="宋体" w:hAnsi="宋体"/>
                <w:sz w:val="22"/>
              </w:rPr>
              <w:t>纸打印装订，加盖公章和骑缝章。所递交文件中不得有随意的行间插字、涂改或增删。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jc w:val="center"/>
        </w:trPr>
        <w:tc>
          <w:tcPr>
            <w:tcW w:w="850" w:type="dxa"/>
            <w:vAlign w:val="center"/>
          </w:tcPr>
          <w:p>
            <w:pPr>
              <w:snapToGrid w:val="0"/>
              <w:spacing w:line="360" w:lineRule="auto"/>
              <w:jc w:val="center"/>
              <w:rPr>
                <w:rFonts w:ascii="宋体" w:hAnsi="宋体"/>
                <w:kern w:val="0"/>
                <w:sz w:val="22"/>
              </w:rPr>
            </w:pPr>
            <w:r>
              <w:rPr>
                <w:rFonts w:hint="eastAsia" w:ascii="Times New Roman" w:hAnsi="Times New Roman"/>
                <w:kern w:val="0"/>
                <w:sz w:val="22"/>
              </w:rPr>
              <w:t>11</w:t>
            </w:r>
          </w:p>
        </w:tc>
        <w:tc>
          <w:tcPr>
            <w:tcW w:w="1364" w:type="dxa"/>
            <w:vAlign w:val="center"/>
          </w:tcPr>
          <w:p>
            <w:pPr>
              <w:snapToGrid w:val="0"/>
              <w:spacing w:line="360" w:lineRule="auto"/>
              <w:jc w:val="center"/>
              <w:rPr>
                <w:rFonts w:ascii="宋体" w:hAnsi="宋体"/>
                <w:kern w:val="0"/>
                <w:sz w:val="22"/>
              </w:rPr>
            </w:pPr>
            <w:r>
              <w:rPr>
                <w:rFonts w:hint="eastAsia" w:ascii="宋体" w:hAnsi="宋体"/>
                <w:kern w:val="0"/>
                <w:sz w:val="22"/>
              </w:rPr>
              <w:t>应选</w:t>
            </w:r>
            <w:r>
              <w:rPr>
                <w:rFonts w:ascii="宋体" w:hAnsi="宋体"/>
                <w:kern w:val="0"/>
                <w:sz w:val="22"/>
              </w:rPr>
              <w:t>文件的密封</w:t>
            </w:r>
          </w:p>
        </w:tc>
        <w:tc>
          <w:tcPr>
            <w:tcW w:w="8188" w:type="dxa"/>
            <w:vAlign w:val="center"/>
          </w:tcPr>
          <w:p>
            <w:pPr>
              <w:adjustRightInd w:val="0"/>
              <w:snapToGrid w:val="0"/>
              <w:spacing w:line="360" w:lineRule="auto"/>
              <w:ind w:firstLine="440" w:firstLineChars="200"/>
              <w:rPr>
                <w:rFonts w:ascii="宋体" w:hAnsi="宋体"/>
                <w:sz w:val="22"/>
              </w:rPr>
            </w:pPr>
            <w:r>
              <w:rPr>
                <w:rFonts w:hint="eastAsia" w:ascii="宋体" w:hAnsi="宋体"/>
                <w:sz w:val="22"/>
              </w:rPr>
              <w:t>应选文件密封袋内装应选文件正副本</w:t>
            </w:r>
            <w:r>
              <w:rPr>
                <w:rFonts w:hint="eastAsia" w:ascii="宋体" w:hAnsi="宋体"/>
                <w:sz w:val="22"/>
                <w:lang w:eastAsia="zh-CN"/>
              </w:rPr>
              <w:t>及电子文件（</w:t>
            </w:r>
            <w:r>
              <w:rPr>
                <w:rFonts w:hint="eastAsia" w:ascii="宋体" w:hAnsi="宋体"/>
                <w:sz w:val="22"/>
                <w:lang w:val="en-US" w:eastAsia="zh-CN"/>
              </w:rPr>
              <w:t>U盘</w:t>
            </w:r>
            <w:r>
              <w:rPr>
                <w:rFonts w:hint="eastAsia" w:ascii="宋体" w:hAnsi="宋体"/>
                <w:sz w:val="22"/>
                <w:lang w:eastAsia="zh-CN"/>
              </w:rPr>
              <w:t>）</w:t>
            </w:r>
            <w:r>
              <w:rPr>
                <w:rFonts w:hint="eastAsia" w:ascii="宋体" w:hAnsi="宋体"/>
                <w:sz w:val="22"/>
              </w:rPr>
              <w:t>。</w:t>
            </w:r>
          </w:p>
          <w:p>
            <w:pPr>
              <w:snapToGrid w:val="0"/>
              <w:spacing w:line="360" w:lineRule="auto"/>
              <w:ind w:firstLine="440" w:firstLineChars="200"/>
              <w:rPr>
                <w:rFonts w:ascii="宋体" w:hAnsi="宋体"/>
                <w:sz w:val="22"/>
              </w:rPr>
            </w:pPr>
            <w:r>
              <w:rPr>
                <w:rFonts w:hint="eastAsia" w:ascii="宋体" w:hAnsi="宋体"/>
                <w:sz w:val="22"/>
              </w:rPr>
              <w:t>封皮上按本表第</w:t>
            </w:r>
            <w:r>
              <w:rPr>
                <w:rFonts w:hint="eastAsia" w:ascii="Times New Roman" w:hAnsi="Times New Roman"/>
                <w:sz w:val="22"/>
              </w:rPr>
              <w:t>12</w:t>
            </w:r>
            <w:r>
              <w:rPr>
                <w:rFonts w:hint="eastAsia" w:ascii="宋体" w:hAnsi="宋体"/>
                <w:sz w:val="22"/>
              </w:rPr>
              <w:t>项的规定写明相应内容。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0" w:type="dxa"/>
            <w:vAlign w:val="center"/>
          </w:tcPr>
          <w:p>
            <w:pPr>
              <w:snapToGrid w:val="0"/>
              <w:spacing w:line="360" w:lineRule="auto"/>
              <w:jc w:val="center"/>
              <w:rPr>
                <w:rFonts w:ascii="宋体" w:hAnsi="宋体"/>
                <w:kern w:val="0"/>
                <w:sz w:val="22"/>
              </w:rPr>
            </w:pPr>
            <w:r>
              <w:rPr>
                <w:rFonts w:hint="eastAsia" w:ascii="Times New Roman" w:hAnsi="Times New Roman"/>
                <w:kern w:val="0"/>
                <w:sz w:val="22"/>
              </w:rPr>
              <w:t>12</w:t>
            </w:r>
          </w:p>
        </w:tc>
        <w:tc>
          <w:tcPr>
            <w:tcW w:w="1364" w:type="dxa"/>
            <w:vAlign w:val="center"/>
          </w:tcPr>
          <w:p>
            <w:pPr>
              <w:snapToGrid w:val="0"/>
              <w:spacing w:line="360" w:lineRule="auto"/>
              <w:jc w:val="center"/>
              <w:rPr>
                <w:rFonts w:ascii="宋体" w:hAnsi="宋体"/>
                <w:kern w:val="0"/>
                <w:sz w:val="22"/>
              </w:rPr>
            </w:pPr>
            <w:r>
              <w:rPr>
                <w:rFonts w:ascii="宋体" w:hAnsi="宋体"/>
                <w:sz w:val="22"/>
              </w:rPr>
              <w:t>封套上写明</w:t>
            </w:r>
          </w:p>
        </w:tc>
        <w:tc>
          <w:tcPr>
            <w:tcW w:w="8188" w:type="dxa"/>
            <w:vAlign w:val="center"/>
          </w:tcPr>
          <w:p>
            <w:pPr>
              <w:snapToGrid w:val="0"/>
              <w:spacing w:line="360" w:lineRule="auto"/>
              <w:ind w:firstLine="440" w:firstLineChars="200"/>
              <w:rPr>
                <w:rFonts w:ascii="宋体" w:hAnsi="宋体"/>
                <w:kern w:val="0"/>
                <w:sz w:val="22"/>
              </w:rPr>
            </w:pPr>
            <w:r>
              <w:rPr>
                <w:rFonts w:ascii="宋体" w:hAnsi="宋体"/>
                <w:kern w:val="0"/>
                <w:sz w:val="22"/>
              </w:rPr>
              <w:t>应在“</w:t>
            </w:r>
            <w:r>
              <w:rPr>
                <w:rFonts w:hint="eastAsia" w:ascii="宋体" w:hAnsi="宋体"/>
                <w:kern w:val="0"/>
                <w:sz w:val="22"/>
              </w:rPr>
              <w:t>应选</w:t>
            </w:r>
            <w:r>
              <w:rPr>
                <w:rFonts w:ascii="宋体" w:hAnsi="宋体"/>
                <w:kern w:val="0"/>
                <w:sz w:val="22"/>
              </w:rPr>
              <w:t>文件”大袋封套上写明如下内容：</w:t>
            </w:r>
          </w:p>
          <w:p>
            <w:pPr>
              <w:snapToGrid w:val="0"/>
              <w:spacing w:line="360" w:lineRule="auto"/>
              <w:ind w:firstLine="440" w:firstLineChars="200"/>
              <w:rPr>
                <w:rFonts w:ascii="宋体" w:hAnsi="宋体"/>
                <w:kern w:val="0"/>
                <w:sz w:val="22"/>
                <w:u w:val="single"/>
              </w:rPr>
            </w:pPr>
            <w:r>
              <w:rPr>
                <w:rFonts w:hint="eastAsia" w:ascii="宋体" w:hAnsi="宋体"/>
                <w:sz w:val="22"/>
              </w:rPr>
              <w:t>应选</w:t>
            </w:r>
            <w:r>
              <w:rPr>
                <w:rFonts w:ascii="宋体" w:hAnsi="宋体"/>
                <w:kern w:val="0"/>
                <w:sz w:val="22"/>
              </w:rPr>
              <w:t>人名称：</w:t>
            </w:r>
            <w:r>
              <w:rPr>
                <w:rFonts w:ascii="宋体" w:hAnsi="宋体"/>
                <w:kern w:val="0"/>
                <w:sz w:val="22"/>
                <w:u w:val="single"/>
              </w:rPr>
              <w:t xml:space="preserve">              （加盖</w:t>
            </w:r>
            <w:r>
              <w:rPr>
                <w:rFonts w:hint="eastAsia" w:ascii="宋体" w:hAnsi="宋体"/>
                <w:kern w:val="0"/>
                <w:sz w:val="22"/>
                <w:u w:val="single"/>
              </w:rPr>
              <w:t>应选</w:t>
            </w:r>
            <w:r>
              <w:rPr>
                <w:rFonts w:ascii="宋体" w:hAnsi="宋体"/>
                <w:kern w:val="0"/>
                <w:sz w:val="22"/>
                <w:u w:val="single"/>
              </w:rPr>
              <w:t>人单位鲜公章）</w:t>
            </w:r>
          </w:p>
          <w:p>
            <w:pPr>
              <w:snapToGrid w:val="0"/>
              <w:spacing w:line="360" w:lineRule="auto"/>
              <w:ind w:firstLine="440" w:firstLineChars="200"/>
              <w:rPr>
                <w:rFonts w:ascii="宋体" w:hAnsi="宋体"/>
                <w:kern w:val="0"/>
                <w:sz w:val="22"/>
              </w:rPr>
            </w:pPr>
            <w:r>
              <w:rPr>
                <w:rFonts w:hint="eastAsia" w:ascii="宋体" w:hAnsi="宋体"/>
                <w:sz w:val="22"/>
              </w:rPr>
              <w:t>比选</w:t>
            </w:r>
            <w:r>
              <w:rPr>
                <w:rFonts w:ascii="宋体" w:hAnsi="宋体"/>
                <w:kern w:val="0"/>
                <w:sz w:val="22"/>
              </w:rPr>
              <w:t>人名称：</w:t>
            </w:r>
            <w:r>
              <w:rPr>
                <w:rFonts w:ascii="宋体" w:hAnsi="宋体"/>
                <w:kern w:val="0"/>
                <w:sz w:val="22"/>
                <w:u w:val="single"/>
              </w:rPr>
              <w:t xml:space="preserve">                  </w:t>
            </w:r>
          </w:p>
          <w:p>
            <w:pPr>
              <w:snapToGrid w:val="0"/>
              <w:spacing w:line="360" w:lineRule="auto"/>
              <w:ind w:firstLine="440" w:firstLineChars="200"/>
              <w:rPr>
                <w:rFonts w:ascii="宋体" w:hAnsi="宋体"/>
                <w:sz w:val="22"/>
              </w:rPr>
            </w:pPr>
            <w:r>
              <w:rPr>
                <w:rFonts w:ascii="宋体" w:hAnsi="宋体"/>
                <w:kern w:val="0"/>
                <w:sz w:val="22"/>
                <w:u w:val="single"/>
              </w:rPr>
              <w:t xml:space="preserve">                         </w:t>
            </w:r>
            <w:r>
              <w:rPr>
                <w:rFonts w:ascii="宋体" w:hAnsi="宋体"/>
                <w:kern w:val="0"/>
                <w:sz w:val="22"/>
              </w:rPr>
              <w:t xml:space="preserve"> （项目名称）</w:t>
            </w:r>
            <w:r>
              <w:rPr>
                <w:rFonts w:hint="eastAsia" w:ascii="宋体" w:hAnsi="宋体"/>
                <w:kern w:val="0"/>
                <w:sz w:val="22"/>
              </w:rPr>
              <w:t>应选</w:t>
            </w:r>
            <w:r>
              <w:rPr>
                <w:rFonts w:ascii="宋体" w:hAnsi="宋体"/>
                <w:kern w:val="0"/>
                <w:sz w:val="22"/>
              </w:rPr>
              <w:t>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0" w:type="dxa"/>
            <w:vAlign w:val="center"/>
          </w:tcPr>
          <w:p>
            <w:pPr>
              <w:snapToGrid w:val="0"/>
              <w:spacing w:line="360" w:lineRule="auto"/>
              <w:jc w:val="center"/>
              <w:rPr>
                <w:rFonts w:ascii="宋体" w:hAnsi="宋体"/>
                <w:kern w:val="0"/>
                <w:sz w:val="22"/>
              </w:rPr>
            </w:pPr>
            <w:r>
              <w:rPr>
                <w:rFonts w:hint="eastAsia" w:ascii="Times New Roman" w:hAnsi="Times New Roman"/>
                <w:kern w:val="0"/>
                <w:sz w:val="22"/>
              </w:rPr>
              <w:t>13</w:t>
            </w:r>
          </w:p>
        </w:tc>
        <w:tc>
          <w:tcPr>
            <w:tcW w:w="1364" w:type="dxa"/>
            <w:vAlign w:val="center"/>
          </w:tcPr>
          <w:p>
            <w:pPr>
              <w:snapToGrid w:val="0"/>
              <w:spacing w:line="360" w:lineRule="auto"/>
              <w:jc w:val="center"/>
              <w:rPr>
                <w:rFonts w:ascii="宋体" w:hAnsi="宋体"/>
                <w:kern w:val="0"/>
                <w:sz w:val="22"/>
              </w:rPr>
            </w:pPr>
            <w:r>
              <w:rPr>
                <w:rFonts w:hint="eastAsia" w:ascii="宋体" w:hAnsi="宋体"/>
                <w:kern w:val="0"/>
                <w:sz w:val="22"/>
              </w:rPr>
              <w:t>比选有效期</w:t>
            </w:r>
          </w:p>
        </w:tc>
        <w:tc>
          <w:tcPr>
            <w:tcW w:w="8188" w:type="dxa"/>
            <w:vAlign w:val="center"/>
          </w:tcPr>
          <w:p>
            <w:pPr>
              <w:snapToGrid w:val="0"/>
              <w:spacing w:line="360" w:lineRule="auto"/>
              <w:ind w:firstLine="440" w:firstLineChars="200"/>
              <w:rPr>
                <w:rFonts w:ascii="宋体" w:hAnsi="宋体"/>
                <w:sz w:val="22"/>
              </w:rPr>
            </w:pPr>
            <w:r>
              <w:rPr>
                <w:rFonts w:ascii="宋体" w:hAnsi="宋体"/>
                <w:sz w:val="22"/>
              </w:rPr>
              <w:t>自递交</w:t>
            </w:r>
            <w:r>
              <w:rPr>
                <w:rFonts w:hint="eastAsia" w:ascii="宋体" w:hAnsi="宋体"/>
                <w:sz w:val="22"/>
              </w:rPr>
              <w:t>应选</w:t>
            </w:r>
            <w:r>
              <w:rPr>
                <w:rFonts w:ascii="宋体" w:hAnsi="宋体"/>
                <w:sz w:val="22"/>
              </w:rPr>
              <w:t>文件起至本公司与中</w:t>
            </w:r>
            <w:r>
              <w:rPr>
                <w:rFonts w:hint="eastAsia" w:ascii="宋体" w:hAnsi="宋体"/>
                <w:sz w:val="22"/>
              </w:rPr>
              <w:t>选</w:t>
            </w:r>
            <w:r>
              <w:rPr>
                <w:rFonts w:ascii="宋体" w:hAnsi="宋体"/>
                <w:sz w:val="22"/>
              </w:rPr>
              <w:t>人签署</w:t>
            </w:r>
            <w:r>
              <w:rPr>
                <w:rFonts w:hint="eastAsia" w:ascii="宋体" w:hAnsi="宋体"/>
                <w:sz w:val="22"/>
              </w:rPr>
              <w:t>服务合同</w:t>
            </w:r>
            <w:r>
              <w:rPr>
                <w:rFonts w:ascii="宋体" w:hAnsi="宋体"/>
                <w:sz w:val="22"/>
              </w:rPr>
              <w:t>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0" w:type="dxa"/>
            <w:vAlign w:val="center"/>
          </w:tcPr>
          <w:p>
            <w:pPr>
              <w:snapToGrid w:val="0"/>
              <w:spacing w:line="360" w:lineRule="auto"/>
              <w:jc w:val="center"/>
              <w:rPr>
                <w:rFonts w:ascii="宋体" w:hAnsi="宋体"/>
                <w:kern w:val="0"/>
                <w:sz w:val="22"/>
              </w:rPr>
            </w:pPr>
            <w:r>
              <w:rPr>
                <w:rFonts w:hint="eastAsia" w:ascii="Times New Roman" w:hAnsi="Times New Roman"/>
                <w:kern w:val="0"/>
                <w:sz w:val="22"/>
              </w:rPr>
              <w:t>14</w:t>
            </w:r>
          </w:p>
        </w:tc>
        <w:tc>
          <w:tcPr>
            <w:tcW w:w="1364" w:type="dxa"/>
            <w:vAlign w:val="center"/>
          </w:tcPr>
          <w:p>
            <w:pPr>
              <w:snapToGrid w:val="0"/>
              <w:spacing w:line="360" w:lineRule="auto"/>
              <w:jc w:val="center"/>
              <w:rPr>
                <w:rFonts w:ascii="宋体" w:hAnsi="宋体"/>
                <w:kern w:val="0"/>
                <w:sz w:val="22"/>
              </w:rPr>
            </w:pPr>
            <w:r>
              <w:rPr>
                <w:rFonts w:ascii="宋体" w:hAnsi="宋体"/>
                <w:kern w:val="0"/>
                <w:sz w:val="22"/>
              </w:rPr>
              <w:t>是否退还</w:t>
            </w:r>
          </w:p>
          <w:p>
            <w:pPr>
              <w:snapToGrid w:val="0"/>
              <w:spacing w:line="360" w:lineRule="auto"/>
              <w:jc w:val="center"/>
              <w:rPr>
                <w:rFonts w:ascii="宋体" w:hAnsi="宋体"/>
                <w:kern w:val="0"/>
                <w:sz w:val="22"/>
              </w:rPr>
            </w:pPr>
            <w:r>
              <w:rPr>
                <w:rFonts w:ascii="宋体" w:hAnsi="宋体"/>
                <w:kern w:val="0"/>
                <w:sz w:val="22"/>
              </w:rPr>
              <w:t>应选文件</w:t>
            </w:r>
          </w:p>
        </w:tc>
        <w:tc>
          <w:tcPr>
            <w:tcW w:w="8188" w:type="dxa"/>
            <w:vAlign w:val="center"/>
          </w:tcPr>
          <w:p>
            <w:pPr>
              <w:snapToGrid w:val="0"/>
              <w:spacing w:line="360" w:lineRule="auto"/>
              <w:ind w:firstLine="440" w:firstLineChars="200"/>
              <w:rPr>
                <w:rFonts w:ascii="宋体" w:hAnsi="宋体"/>
                <w:kern w:val="0"/>
                <w:sz w:val="22"/>
              </w:rPr>
            </w:pPr>
            <w:r>
              <w:rPr>
                <w:rFonts w:ascii="宋体" w:hAnsi="宋体"/>
                <w:kern w:val="0"/>
                <w:sz w:val="22"/>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0" w:type="dxa"/>
            <w:vAlign w:val="center"/>
          </w:tcPr>
          <w:p>
            <w:pPr>
              <w:snapToGrid w:val="0"/>
              <w:spacing w:line="360" w:lineRule="auto"/>
              <w:jc w:val="center"/>
              <w:rPr>
                <w:rFonts w:ascii="宋体" w:hAnsi="宋体"/>
                <w:kern w:val="0"/>
                <w:sz w:val="22"/>
              </w:rPr>
            </w:pPr>
            <w:r>
              <w:rPr>
                <w:rFonts w:hint="eastAsia" w:ascii="Times New Roman" w:hAnsi="Times New Roman"/>
                <w:kern w:val="0"/>
                <w:sz w:val="22"/>
              </w:rPr>
              <w:t>15</w:t>
            </w:r>
          </w:p>
        </w:tc>
        <w:tc>
          <w:tcPr>
            <w:tcW w:w="1364" w:type="dxa"/>
            <w:vAlign w:val="center"/>
          </w:tcPr>
          <w:p>
            <w:pPr>
              <w:snapToGrid w:val="0"/>
              <w:spacing w:line="360" w:lineRule="auto"/>
              <w:jc w:val="center"/>
              <w:rPr>
                <w:rFonts w:ascii="宋体" w:hAnsi="宋体"/>
                <w:kern w:val="0"/>
                <w:sz w:val="22"/>
              </w:rPr>
            </w:pPr>
            <w:r>
              <w:rPr>
                <w:rFonts w:ascii="宋体" w:hAnsi="宋体"/>
                <w:kern w:val="0"/>
                <w:sz w:val="22"/>
              </w:rPr>
              <w:t>开标时间</w:t>
            </w:r>
          </w:p>
          <w:p>
            <w:pPr>
              <w:snapToGrid w:val="0"/>
              <w:spacing w:line="360" w:lineRule="auto"/>
              <w:jc w:val="center"/>
              <w:rPr>
                <w:rFonts w:ascii="宋体" w:hAnsi="宋体"/>
                <w:kern w:val="0"/>
                <w:sz w:val="22"/>
              </w:rPr>
            </w:pPr>
            <w:r>
              <w:rPr>
                <w:rFonts w:ascii="宋体" w:hAnsi="宋体"/>
                <w:kern w:val="0"/>
                <w:sz w:val="22"/>
              </w:rPr>
              <w:t>和地点</w:t>
            </w:r>
          </w:p>
        </w:tc>
        <w:tc>
          <w:tcPr>
            <w:tcW w:w="8188" w:type="dxa"/>
            <w:vAlign w:val="center"/>
          </w:tcPr>
          <w:p>
            <w:pPr>
              <w:snapToGrid w:val="0"/>
              <w:spacing w:line="360" w:lineRule="auto"/>
              <w:ind w:firstLine="440" w:firstLineChars="200"/>
              <w:rPr>
                <w:rFonts w:ascii="宋体" w:hAnsi="宋体"/>
                <w:kern w:val="0"/>
                <w:sz w:val="22"/>
              </w:rPr>
            </w:pPr>
            <w:r>
              <w:rPr>
                <w:rFonts w:ascii="宋体" w:hAnsi="宋体"/>
                <w:kern w:val="0"/>
                <w:sz w:val="22"/>
              </w:rPr>
              <w:t>开标时间：</w:t>
            </w:r>
            <w:r>
              <w:rPr>
                <w:rFonts w:hint="eastAsia" w:ascii="宋体" w:hAnsi="宋体"/>
                <w:snapToGrid w:val="0"/>
                <w:sz w:val="22"/>
              </w:rPr>
              <w:t xml:space="preserve">2024年 </w:t>
            </w:r>
            <w:r>
              <w:rPr>
                <w:rFonts w:hint="eastAsia" w:ascii="宋体" w:hAnsi="宋体"/>
                <w:snapToGrid w:val="0"/>
                <w:sz w:val="22"/>
                <w:lang w:val="en-US" w:eastAsia="zh-CN"/>
              </w:rPr>
              <w:t>1</w:t>
            </w:r>
            <w:r>
              <w:rPr>
                <w:rFonts w:hint="eastAsia" w:ascii="宋体" w:hAnsi="宋体"/>
                <w:snapToGrid w:val="0"/>
                <w:sz w:val="22"/>
              </w:rPr>
              <w:t>月</w:t>
            </w:r>
            <w:r>
              <w:rPr>
                <w:rFonts w:hint="eastAsia" w:ascii="宋体" w:hAnsi="宋体"/>
                <w:snapToGrid w:val="0"/>
                <w:sz w:val="22"/>
                <w:lang w:val="en-US" w:eastAsia="zh-CN"/>
              </w:rPr>
              <w:t>31</w:t>
            </w:r>
            <w:r>
              <w:rPr>
                <w:rFonts w:hint="eastAsia" w:ascii="宋体" w:hAnsi="宋体"/>
                <w:snapToGrid w:val="0"/>
                <w:sz w:val="22"/>
              </w:rPr>
              <w:t>日10时00分</w:t>
            </w:r>
          </w:p>
          <w:p>
            <w:pPr>
              <w:snapToGrid w:val="0"/>
              <w:spacing w:line="360" w:lineRule="auto"/>
              <w:ind w:firstLine="440" w:firstLineChars="200"/>
              <w:rPr>
                <w:rFonts w:ascii="宋体" w:hAnsi="宋体"/>
                <w:kern w:val="0"/>
                <w:sz w:val="22"/>
              </w:rPr>
            </w:pPr>
            <w:r>
              <w:rPr>
                <w:rFonts w:ascii="宋体" w:hAnsi="宋体"/>
                <w:kern w:val="0"/>
                <w:sz w:val="22"/>
              </w:rPr>
              <w:t>开标地点：</w:t>
            </w:r>
            <w:r>
              <w:rPr>
                <w:rFonts w:hint="eastAsia" w:ascii="宋体" w:hAnsi="宋体"/>
                <w:kern w:val="0"/>
                <w:sz w:val="22"/>
              </w:rPr>
              <w:t>重庆市高新区白市驿镇高田坎村66号（高新区储备库办公楼）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850" w:type="dxa"/>
            <w:vAlign w:val="center"/>
          </w:tcPr>
          <w:p>
            <w:pPr>
              <w:snapToGrid w:val="0"/>
              <w:spacing w:line="360" w:lineRule="auto"/>
              <w:jc w:val="center"/>
              <w:rPr>
                <w:rFonts w:ascii="宋体" w:hAnsi="宋体"/>
                <w:kern w:val="0"/>
                <w:sz w:val="22"/>
              </w:rPr>
            </w:pPr>
            <w:r>
              <w:rPr>
                <w:rFonts w:hint="eastAsia" w:ascii="Times New Roman" w:hAnsi="Times New Roman"/>
                <w:kern w:val="0"/>
                <w:sz w:val="22"/>
              </w:rPr>
              <w:t>16</w:t>
            </w:r>
          </w:p>
        </w:tc>
        <w:tc>
          <w:tcPr>
            <w:tcW w:w="1364" w:type="dxa"/>
            <w:vAlign w:val="center"/>
          </w:tcPr>
          <w:p>
            <w:pPr>
              <w:snapToGrid w:val="0"/>
              <w:spacing w:line="360" w:lineRule="auto"/>
              <w:jc w:val="center"/>
              <w:rPr>
                <w:rFonts w:ascii="宋体" w:hAnsi="宋体"/>
                <w:kern w:val="0"/>
                <w:sz w:val="22"/>
              </w:rPr>
            </w:pPr>
            <w:r>
              <w:rPr>
                <w:rFonts w:hint="eastAsia" w:ascii="宋体" w:hAnsi="宋体"/>
                <w:kern w:val="0"/>
                <w:sz w:val="22"/>
              </w:rPr>
              <w:t>评选</w:t>
            </w:r>
            <w:r>
              <w:rPr>
                <w:rFonts w:ascii="宋体" w:hAnsi="宋体"/>
                <w:kern w:val="0"/>
                <w:sz w:val="22"/>
              </w:rPr>
              <w:t>委员会的</w:t>
            </w:r>
          </w:p>
          <w:p>
            <w:pPr>
              <w:snapToGrid w:val="0"/>
              <w:spacing w:line="360" w:lineRule="auto"/>
              <w:jc w:val="center"/>
              <w:rPr>
                <w:rFonts w:ascii="宋体" w:hAnsi="宋体"/>
                <w:kern w:val="0"/>
                <w:sz w:val="22"/>
              </w:rPr>
            </w:pPr>
            <w:r>
              <w:rPr>
                <w:rFonts w:ascii="宋体" w:hAnsi="宋体"/>
                <w:kern w:val="0"/>
                <w:sz w:val="22"/>
              </w:rPr>
              <w:t>组建</w:t>
            </w:r>
          </w:p>
        </w:tc>
        <w:tc>
          <w:tcPr>
            <w:tcW w:w="8188" w:type="dxa"/>
            <w:vAlign w:val="center"/>
          </w:tcPr>
          <w:p>
            <w:pPr>
              <w:autoSpaceDE w:val="0"/>
              <w:autoSpaceDN w:val="0"/>
              <w:adjustRightInd w:val="0"/>
              <w:snapToGrid w:val="0"/>
              <w:spacing w:line="360" w:lineRule="auto"/>
              <w:ind w:firstLine="440" w:firstLineChars="200"/>
              <w:rPr>
                <w:rFonts w:ascii="宋体" w:hAnsi="宋体"/>
                <w:sz w:val="22"/>
              </w:rPr>
            </w:pPr>
            <w:r>
              <w:rPr>
                <w:rFonts w:ascii="宋体" w:hAnsi="宋体"/>
                <w:sz w:val="22"/>
              </w:rPr>
              <w:t>由比选人按法律法规相关规定</w:t>
            </w:r>
            <w:r>
              <w:rPr>
                <w:rFonts w:hint="eastAsia" w:ascii="宋体" w:hAnsi="宋体"/>
                <w:sz w:val="22"/>
              </w:rPr>
              <w:t>及比选人公司制度</w:t>
            </w:r>
            <w:r>
              <w:rPr>
                <w:rFonts w:ascii="宋体" w:hAnsi="宋体"/>
                <w:sz w:val="22"/>
              </w:rPr>
              <w:t>组建。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9" w:hRule="atLeast"/>
          <w:jc w:val="center"/>
        </w:trPr>
        <w:tc>
          <w:tcPr>
            <w:tcW w:w="850" w:type="dxa"/>
            <w:vAlign w:val="center"/>
          </w:tcPr>
          <w:p>
            <w:pPr>
              <w:snapToGrid w:val="0"/>
              <w:spacing w:line="360" w:lineRule="auto"/>
              <w:jc w:val="center"/>
              <w:rPr>
                <w:rFonts w:ascii="宋体" w:hAnsi="宋体"/>
                <w:kern w:val="0"/>
                <w:sz w:val="22"/>
              </w:rPr>
            </w:pPr>
            <w:r>
              <w:rPr>
                <w:rFonts w:hint="eastAsia" w:ascii="Times New Roman" w:hAnsi="Times New Roman"/>
                <w:kern w:val="0"/>
                <w:sz w:val="22"/>
              </w:rPr>
              <w:t>17</w:t>
            </w:r>
          </w:p>
        </w:tc>
        <w:tc>
          <w:tcPr>
            <w:tcW w:w="1364" w:type="dxa"/>
            <w:vAlign w:val="center"/>
          </w:tcPr>
          <w:p>
            <w:pPr>
              <w:snapToGrid w:val="0"/>
              <w:spacing w:line="360" w:lineRule="auto"/>
              <w:jc w:val="center"/>
              <w:rPr>
                <w:rFonts w:ascii="宋体" w:hAnsi="宋体"/>
                <w:kern w:val="0"/>
                <w:sz w:val="22"/>
              </w:rPr>
            </w:pPr>
            <w:r>
              <w:rPr>
                <w:rFonts w:ascii="宋体" w:hAnsi="宋体"/>
                <w:kern w:val="0"/>
                <w:sz w:val="22"/>
              </w:rPr>
              <w:t>是否授权</w:t>
            </w:r>
            <w:r>
              <w:rPr>
                <w:rFonts w:hint="eastAsia" w:ascii="宋体" w:hAnsi="宋体"/>
                <w:kern w:val="0"/>
                <w:sz w:val="22"/>
              </w:rPr>
              <w:t>评选</w:t>
            </w:r>
            <w:r>
              <w:rPr>
                <w:rFonts w:ascii="宋体" w:hAnsi="宋体"/>
                <w:kern w:val="0"/>
                <w:sz w:val="22"/>
              </w:rPr>
              <w:t>委员会确定中</w:t>
            </w:r>
            <w:r>
              <w:rPr>
                <w:rFonts w:hint="eastAsia" w:ascii="宋体" w:hAnsi="宋体"/>
                <w:kern w:val="0"/>
                <w:sz w:val="22"/>
              </w:rPr>
              <w:t>选</w:t>
            </w:r>
            <w:r>
              <w:rPr>
                <w:rFonts w:ascii="宋体" w:hAnsi="宋体"/>
                <w:kern w:val="0"/>
                <w:sz w:val="22"/>
              </w:rPr>
              <w:t>人</w:t>
            </w:r>
          </w:p>
        </w:tc>
        <w:tc>
          <w:tcPr>
            <w:tcW w:w="8188" w:type="dxa"/>
            <w:vAlign w:val="center"/>
          </w:tcPr>
          <w:p>
            <w:pPr>
              <w:autoSpaceDE w:val="0"/>
              <w:autoSpaceDN w:val="0"/>
              <w:adjustRightInd w:val="0"/>
              <w:snapToGrid w:val="0"/>
              <w:spacing w:line="360" w:lineRule="auto"/>
              <w:ind w:firstLine="440" w:firstLineChars="200"/>
              <w:rPr>
                <w:rFonts w:ascii="宋体" w:hAnsi="宋体"/>
                <w:kern w:val="0"/>
                <w:sz w:val="22"/>
              </w:rPr>
            </w:pPr>
            <w:r>
              <w:rPr>
                <w:rFonts w:ascii="宋体" w:hAnsi="宋体"/>
                <w:kern w:val="0"/>
                <w:sz w:val="22"/>
              </w:rPr>
              <w:t>由</w:t>
            </w:r>
            <w:r>
              <w:rPr>
                <w:rFonts w:hint="eastAsia" w:ascii="宋体" w:hAnsi="宋体"/>
                <w:kern w:val="0"/>
                <w:sz w:val="22"/>
              </w:rPr>
              <w:t>评选</w:t>
            </w:r>
            <w:r>
              <w:rPr>
                <w:rFonts w:ascii="宋体" w:hAnsi="宋体"/>
                <w:kern w:val="0"/>
                <w:sz w:val="22"/>
              </w:rPr>
              <w:t>委员会推荐经评审得分由高到低排名前三名为中</w:t>
            </w:r>
            <w:r>
              <w:rPr>
                <w:rFonts w:hint="eastAsia" w:ascii="宋体" w:hAnsi="宋体"/>
                <w:kern w:val="0"/>
                <w:sz w:val="22"/>
              </w:rPr>
              <w:t>选</w:t>
            </w:r>
            <w:r>
              <w:rPr>
                <w:rFonts w:ascii="宋体" w:hAnsi="宋体"/>
                <w:kern w:val="0"/>
                <w:sz w:val="22"/>
              </w:rPr>
              <w:t>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0" w:type="dxa"/>
            <w:vAlign w:val="center"/>
          </w:tcPr>
          <w:p>
            <w:pPr>
              <w:snapToGrid w:val="0"/>
              <w:spacing w:line="360" w:lineRule="auto"/>
              <w:jc w:val="center"/>
              <w:rPr>
                <w:rFonts w:ascii="宋体" w:hAnsi="宋体"/>
                <w:kern w:val="0"/>
                <w:sz w:val="22"/>
              </w:rPr>
            </w:pPr>
            <w:r>
              <w:rPr>
                <w:rFonts w:hint="eastAsia" w:ascii="宋体" w:hAnsi="宋体"/>
                <w:kern w:val="0"/>
                <w:sz w:val="22"/>
              </w:rPr>
              <w:t>18</w:t>
            </w:r>
          </w:p>
        </w:tc>
        <w:tc>
          <w:tcPr>
            <w:tcW w:w="1364" w:type="dxa"/>
            <w:vAlign w:val="center"/>
          </w:tcPr>
          <w:p>
            <w:pPr>
              <w:snapToGrid w:val="0"/>
              <w:spacing w:line="360" w:lineRule="auto"/>
              <w:jc w:val="center"/>
              <w:rPr>
                <w:rFonts w:ascii="宋体" w:hAnsi="宋体"/>
                <w:kern w:val="0"/>
                <w:sz w:val="22"/>
              </w:rPr>
            </w:pPr>
            <w:r>
              <w:rPr>
                <w:rFonts w:ascii="宋体" w:hAnsi="宋体"/>
                <w:kern w:val="0"/>
                <w:sz w:val="22"/>
              </w:rPr>
              <w:t>重新</w:t>
            </w:r>
            <w:r>
              <w:rPr>
                <w:rFonts w:hint="eastAsia" w:ascii="宋体" w:hAnsi="宋体"/>
                <w:kern w:val="0"/>
                <w:sz w:val="22"/>
              </w:rPr>
              <w:t>比选</w:t>
            </w:r>
          </w:p>
        </w:tc>
        <w:tc>
          <w:tcPr>
            <w:tcW w:w="8188" w:type="dxa"/>
            <w:vAlign w:val="center"/>
          </w:tcPr>
          <w:p>
            <w:pPr>
              <w:autoSpaceDE w:val="0"/>
              <w:autoSpaceDN w:val="0"/>
              <w:adjustRightInd w:val="0"/>
              <w:snapToGrid w:val="0"/>
              <w:spacing w:line="360" w:lineRule="auto"/>
              <w:ind w:firstLine="440" w:firstLineChars="200"/>
              <w:rPr>
                <w:rFonts w:ascii="宋体" w:hAnsi="宋体"/>
                <w:kern w:val="0"/>
                <w:sz w:val="22"/>
              </w:rPr>
            </w:pPr>
            <w:r>
              <w:rPr>
                <w:rFonts w:hint="eastAsia" w:ascii="宋体" w:hAnsi="宋体"/>
                <w:kern w:val="0"/>
                <w:sz w:val="22"/>
              </w:rPr>
              <w:t>如不足</w:t>
            </w:r>
            <w:r>
              <w:rPr>
                <w:rFonts w:ascii="Times New Roman" w:hAnsi="Times New Roman"/>
                <w:kern w:val="0"/>
                <w:sz w:val="22"/>
              </w:rPr>
              <w:t>3</w:t>
            </w:r>
            <w:r>
              <w:rPr>
                <w:rFonts w:ascii="宋体" w:hAnsi="宋体"/>
                <w:kern w:val="0"/>
                <w:sz w:val="22"/>
              </w:rPr>
              <w:t>家单位</w:t>
            </w:r>
            <w:r>
              <w:rPr>
                <w:rFonts w:hint="eastAsia" w:ascii="宋体" w:hAnsi="宋体"/>
                <w:kern w:val="0"/>
                <w:sz w:val="22"/>
              </w:rPr>
              <w:t>参加本次竞争性比选，则本次比选终止，重新开展。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0" w:type="dxa"/>
            <w:vAlign w:val="center"/>
          </w:tcPr>
          <w:p>
            <w:pPr>
              <w:snapToGrid w:val="0"/>
              <w:spacing w:line="360" w:lineRule="auto"/>
              <w:jc w:val="center"/>
              <w:rPr>
                <w:rFonts w:ascii="宋体" w:hAnsi="宋体"/>
                <w:kern w:val="0"/>
                <w:sz w:val="22"/>
              </w:rPr>
            </w:pPr>
            <w:r>
              <w:rPr>
                <w:rFonts w:hint="eastAsia" w:ascii="宋体" w:hAnsi="宋体"/>
                <w:kern w:val="0"/>
                <w:sz w:val="22"/>
              </w:rPr>
              <w:t>19</w:t>
            </w:r>
          </w:p>
        </w:tc>
        <w:tc>
          <w:tcPr>
            <w:tcW w:w="1364" w:type="dxa"/>
            <w:vAlign w:val="center"/>
          </w:tcPr>
          <w:p>
            <w:pPr>
              <w:spacing w:line="360" w:lineRule="auto"/>
              <w:jc w:val="center"/>
              <w:rPr>
                <w:rFonts w:ascii="宋体" w:hAnsi="宋体"/>
                <w:sz w:val="22"/>
                <w:szCs w:val="24"/>
              </w:rPr>
            </w:pPr>
            <w:r>
              <w:rPr>
                <w:rFonts w:ascii="宋体" w:hAnsi="宋体"/>
                <w:snapToGrid w:val="0"/>
                <w:sz w:val="22"/>
                <w:szCs w:val="24"/>
              </w:rPr>
              <w:t>二次</w:t>
            </w:r>
            <w:r>
              <w:rPr>
                <w:rFonts w:hint="eastAsia" w:ascii="宋体" w:hAnsi="宋体"/>
                <w:snapToGrid w:val="0"/>
                <w:sz w:val="22"/>
                <w:szCs w:val="24"/>
              </w:rPr>
              <w:t>比选</w:t>
            </w:r>
            <w:r>
              <w:rPr>
                <w:rFonts w:ascii="宋体" w:hAnsi="宋体"/>
                <w:snapToGrid w:val="0"/>
                <w:sz w:val="22"/>
                <w:szCs w:val="24"/>
              </w:rPr>
              <w:t>和不再</w:t>
            </w:r>
            <w:r>
              <w:rPr>
                <w:rFonts w:hint="eastAsia" w:ascii="宋体" w:hAnsi="宋体"/>
                <w:snapToGrid w:val="0"/>
                <w:sz w:val="22"/>
                <w:szCs w:val="24"/>
              </w:rPr>
              <w:t>比选</w:t>
            </w:r>
          </w:p>
        </w:tc>
        <w:tc>
          <w:tcPr>
            <w:tcW w:w="8188" w:type="dxa"/>
            <w:vAlign w:val="center"/>
          </w:tcPr>
          <w:p>
            <w:pPr>
              <w:autoSpaceDE w:val="0"/>
              <w:autoSpaceDN w:val="0"/>
              <w:adjustRightInd w:val="0"/>
              <w:snapToGrid w:val="0"/>
              <w:spacing w:line="360" w:lineRule="auto"/>
              <w:ind w:firstLine="440" w:firstLineChars="200"/>
              <w:rPr>
                <w:rFonts w:ascii="宋体" w:hAnsi="宋体"/>
                <w:sz w:val="22"/>
              </w:rPr>
            </w:pPr>
            <w:r>
              <w:rPr>
                <w:rFonts w:ascii="宋体" w:hAnsi="宋体"/>
                <w:sz w:val="22"/>
              </w:rPr>
              <w:t>重新</w:t>
            </w:r>
            <w:r>
              <w:rPr>
                <w:rFonts w:hint="eastAsia" w:ascii="宋体" w:hAnsi="宋体"/>
                <w:sz w:val="22"/>
              </w:rPr>
              <w:t>比选</w:t>
            </w:r>
            <w:r>
              <w:rPr>
                <w:rFonts w:ascii="宋体" w:hAnsi="宋体"/>
                <w:sz w:val="22"/>
              </w:rPr>
              <w:t>的应选人仍然少于三个的，</w:t>
            </w:r>
            <w:r>
              <w:rPr>
                <w:rFonts w:hint="eastAsia" w:ascii="宋体" w:hAnsi="宋体"/>
                <w:sz w:val="22"/>
              </w:rPr>
              <w:t>参照比选应选</w:t>
            </w:r>
            <w:r>
              <w:rPr>
                <w:rFonts w:ascii="宋体" w:hAnsi="宋体"/>
                <w:sz w:val="22"/>
              </w:rPr>
              <w:t>法律法规规定的程序开标和</w:t>
            </w:r>
            <w:r>
              <w:rPr>
                <w:rFonts w:hint="eastAsia" w:ascii="宋体" w:hAnsi="宋体"/>
                <w:sz w:val="22"/>
              </w:rPr>
              <w:t>评选</w:t>
            </w:r>
            <w:r>
              <w:rPr>
                <w:rFonts w:ascii="宋体" w:hAnsi="宋体"/>
                <w:sz w:val="22"/>
              </w:rPr>
              <w:t>。重新</w:t>
            </w:r>
            <w:r>
              <w:rPr>
                <w:rFonts w:hint="eastAsia" w:ascii="宋体" w:hAnsi="宋体"/>
                <w:sz w:val="22"/>
              </w:rPr>
              <w:t>比选</w:t>
            </w:r>
            <w:r>
              <w:rPr>
                <w:rFonts w:ascii="宋体" w:hAnsi="宋体"/>
                <w:sz w:val="22"/>
              </w:rPr>
              <w:t>经评审有有效应选人的，应当依法确定中</w:t>
            </w:r>
            <w:r>
              <w:rPr>
                <w:rFonts w:hint="eastAsia" w:ascii="宋体" w:hAnsi="宋体"/>
                <w:sz w:val="22"/>
              </w:rPr>
              <w:t>选</w:t>
            </w:r>
            <w:r>
              <w:rPr>
                <w:rFonts w:ascii="宋体" w:hAnsi="宋体"/>
                <w:sz w:val="22"/>
              </w:rPr>
              <w:t>候选人；无有效应选人的，可以不再进行</w:t>
            </w:r>
            <w:r>
              <w:rPr>
                <w:rFonts w:hint="eastAsia" w:ascii="宋体" w:hAnsi="宋体"/>
                <w:sz w:val="22"/>
              </w:rPr>
              <w:t>比选</w:t>
            </w:r>
            <w:r>
              <w:rPr>
                <w:rFonts w:ascii="宋体" w:hAnsi="宋体"/>
                <w:sz w:val="22"/>
              </w:rPr>
              <w:t>，</w:t>
            </w:r>
            <w:r>
              <w:rPr>
                <w:rFonts w:hint="eastAsia" w:asciiTheme="minorEastAsia" w:hAnsiTheme="minorEastAsia" w:eastAsiaTheme="minorEastAsia" w:cstheme="minorEastAsia"/>
                <w:sz w:val="22"/>
              </w:rPr>
              <w:t>由比选人联系评估机构直接发包。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0" w:type="dxa"/>
            <w:vAlign w:val="center"/>
          </w:tcPr>
          <w:p>
            <w:pPr>
              <w:snapToGrid w:val="0"/>
              <w:spacing w:line="360" w:lineRule="auto"/>
              <w:jc w:val="center"/>
              <w:rPr>
                <w:rFonts w:ascii="Times New Roman" w:hAnsi="Times New Roman"/>
                <w:kern w:val="0"/>
                <w:sz w:val="22"/>
              </w:rPr>
            </w:pPr>
            <w:r>
              <w:rPr>
                <w:rFonts w:hint="eastAsia" w:ascii="Times New Roman" w:hAnsi="Times New Roman"/>
                <w:kern w:val="0"/>
                <w:sz w:val="22"/>
              </w:rPr>
              <w:t>20</w:t>
            </w:r>
          </w:p>
        </w:tc>
        <w:tc>
          <w:tcPr>
            <w:tcW w:w="1364" w:type="dxa"/>
            <w:vAlign w:val="center"/>
          </w:tcPr>
          <w:p>
            <w:pPr>
              <w:spacing w:line="360" w:lineRule="auto"/>
              <w:jc w:val="center"/>
              <w:rPr>
                <w:rFonts w:ascii="宋体" w:hAnsi="宋体"/>
                <w:snapToGrid w:val="0"/>
                <w:sz w:val="22"/>
                <w:szCs w:val="24"/>
              </w:rPr>
            </w:pPr>
            <w:r>
              <w:rPr>
                <w:rFonts w:hint="eastAsia" w:ascii="宋体" w:hAnsi="宋体"/>
                <w:snapToGrid w:val="0"/>
                <w:sz w:val="22"/>
                <w:szCs w:val="24"/>
              </w:rPr>
              <w:t>履约保证金</w:t>
            </w:r>
          </w:p>
        </w:tc>
        <w:tc>
          <w:tcPr>
            <w:tcW w:w="8188" w:type="dxa"/>
            <w:vAlign w:val="center"/>
          </w:tcPr>
          <w:p>
            <w:pPr>
              <w:pStyle w:val="58"/>
              <w:spacing w:line="360" w:lineRule="auto"/>
              <w:ind w:firstLine="440" w:firstLineChars="200"/>
              <w:rPr>
                <w:rFonts w:ascii="宋体" w:hAnsi="宋体"/>
                <w:color w:val="auto"/>
                <w:sz w:val="22"/>
              </w:rPr>
            </w:pPr>
            <w:r>
              <w:rPr>
                <w:rFonts w:hint="eastAsia" w:ascii="宋体" w:hAnsi="宋体" w:eastAsia="宋体" w:cs="Times New Roman"/>
                <w:color w:val="auto"/>
                <w:sz w:val="22"/>
                <w:szCs w:val="22"/>
              </w:rPr>
              <w:t xml:space="preserve">中选人领取中选通知书5日内，缴纳合同履约保证金，金额为中选金额的10%。如中选人弃标或无法履行合同，比选人不予退还履约保证金并有权取消其中选资格，同时比选人将依序确定中选候选人。   </w:t>
            </w:r>
            <w:r>
              <w:rPr>
                <w:rFonts w:hint="eastAsia" w:ascii="方正仿宋_GBK" w:hAnsi="方正仿宋_GBK" w:eastAsia="方正仿宋_GBK" w:cs="方正仿宋_GBK"/>
                <w:color w:val="auto"/>
                <w:sz w:val="32"/>
                <w:szCs w:val="32"/>
              </w:rPr>
              <w:t xml:space="preserve"> </w:t>
            </w:r>
          </w:p>
        </w:tc>
      </w:tr>
    </w:tbl>
    <w:p>
      <w:pPr>
        <w:sectPr>
          <w:pgSz w:w="11906" w:h="16838"/>
          <w:pgMar w:top="1134" w:right="1134" w:bottom="1134" w:left="1134" w:header="851" w:footer="992" w:gutter="0"/>
          <w:cols w:space="425" w:num="1"/>
          <w:docGrid w:type="lines" w:linePitch="312" w:charSpace="0"/>
        </w:sectPr>
      </w:pPr>
    </w:p>
    <w:p>
      <w:pPr>
        <w:pStyle w:val="3"/>
        <w:spacing w:before="240" w:after="240" w:line="240" w:lineRule="auto"/>
        <w:jc w:val="center"/>
        <w:rPr>
          <w:rFonts w:ascii="宋体" w:hAnsi="宋体"/>
          <w:sz w:val="32"/>
          <w:szCs w:val="32"/>
        </w:rPr>
      </w:pPr>
      <w:bookmarkStart w:id="18" w:name="_Toc16196568"/>
    </w:p>
    <w:p>
      <w:pPr>
        <w:autoSpaceDE w:val="0"/>
        <w:autoSpaceDN w:val="0"/>
        <w:adjustRightInd w:val="0"/>
        <w:snapToGrid w:val="0"/>
        <w:spacing w:line="360" w:lineRule="auto"/>
        <w:ind w:firstLine="643" w:firstLineChars="200"/>
        <w:jc w:val="center"/>
        <w:rPr>
          <w:rFonts w:ascii="宋体" w:hAnsi="宋体"/>
          <w:b/>
          <w:bCs/>
          <w:sz w:val="32"/>
          <w:szCs w:val="32"/>
        </w:rPr>
      </w:pPr>
      <w:r>
        <w:rPr>
          <w:rFonts w:ascii="宋体" w:hAnsi="宋体"/>
          <w:b/>
          <w:bCs/>
          <w:sz w:val="32"/>
          <w:szCs w:val="32"/>
        </w:rPr>
        <w:t xml:space="preserve">第三章  </w:t>
      </w:r>
      <w:r>
        <w:rPr>
          <w:rFonts w:hint="eastAsia" w:ascii="宋体" w:hAnsi="宋体"/>
          <w:b/>
          <w:bCs/>
          <w:sz w:val="32"/>
          <w:szCs w:val="32"/>
        </w:rPr>
        <w:t>评选</w:t>
      </w:r>
      <w:r>
        <w:rPr>
          <w:rFonts w:ascii="宋体" w:hAnsi="宋体"/>
          <w:b/>
          <w:bCs/>
          <w:sz w:val="32"/>
          <w:szCs w:val="32"/>
        </w:rPr>
        <w:t>办法</w:t>
      </w:r>
      <w:r>
        <w:rPr>
          <w:rFonts w:ascii="宋体" w:hAnsi="宋体"/>
          <w:b/>
          <w:bCs/>
          <w:sz w:val="28"/>
          <w:szCs w:val="28"/>
        </w:rPr>
        <w:t>（</w:t>
      </w:r>
      <w:r>
        <w:rPr>
          <w:rFonts w:hint="eastAsia" w:ascii="宋体" w:hAnsi="宋体"/>
          <w:b/>
          <w:bCs/>
          <w:sz w:val="28"/>
          <w:szCs w:val="28"/>
        </w:rPr>
        <w:t>最低价中标法</w:t>
      </w:r>
      <w:r>
        <w:rPr>
          <w:rFonts w:ascii="宋体" w:hAnsi="宋体"/>
          <w:b/>
          <w:bCs/>
          <w:sz w:val="28"/>
          <w:szCs w:val="28"/>
        </w:rPr>
        <w:t>）</w:t>
      </w:r>
    </w:p>
    <w:p>
      <w:pPr>
        <w:rPr>
          <w:rFonts w:ascii="宋体" w:hAnsi="宋体"/>
        </w:rPr>
      </w:pPr>
    </w:p>
    <w:tbl>
      <w:tblPr>
        <w:tblStyle w:val="20"/>
        <w:tblW w:w="93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
        <w:gridCol w:w="993"/>
        <w:gridCol w:w="1128"/>
        <w:gridCol w:w="5807"/>
        <w:gridCol w:w="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9352" w:type="dxa"/>
            <w:gridSpan w:val="5"/>
            <w:vAlign w:val="center"/>
          </w:tcPr>
          <w:p>
            <w:pPr>
              <w:spacing w:line="276" w:lineRule="auto"/>
              <w:jc w:val="center"/>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9352" w:type="dxa"/>
            <w:gridSpan w:val="5"/>
            <w:vAlign w:val="center"/>
          </w:tcPr>
          <w:p>
            <w:pPr>
              <w:spacing w:line="276" w:lineRule="auto"/>
              <w:jc w:val="center"/>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评审办法：</w:t>
            </w:r>
            <w:r>
              <w:rPr>
                <w:rFonts w:hint="eastAsia" w:asciiTheme="minorEastAsia" w:hAnsiTheme="minorEastAsia" w:eastAsiaTheme="minorEastAsia" w:cstheme="minorEastAsia"/>
                <w:szCs w:val="21"/>
              </w:rPr>
              <w:t>本次评审采用经评审的最低投标价法，评标委员会按照参选人报价由低到高进行报价排序，按照本章初步评审项进行符合性审查，符合性审查合格的参选人中按报价由低到高推荐中选候选人。若出现参选人参选报价相同的，由评标委员会按照 业绩合同总金额由高到低的 原则排序。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cantSplit/>
          <w:trHeight w:val="573" w:hRule="atLeast"/>
          <w:jc w:val="center"/>
        </w:trPr>
        <w:tc>
          <w:tcPr>
            <w:tcW w:w="1417" w:type="dxa"/>
            <w:vMerge w:val="restart"/>
            <w:vAlign w:val="center"/>
          </w:tcPr>
          <w:p>
            <w:pPr>
              <w:spacing w:line="276" w:lineRule="auto"/>
              <w:rPr>
                <w:rFonts w:asciiTheme="minorEastAsia" w:hAnsiTheme="minorEastAsia" w:eastAsiaTheme="minorEastAsia" w:cstheme="minorEastAsia"/>
                <w:kern w:val="0"/>
                <w:szCs w:val="21"/>
              </w:rPr>
            </w:pPr>
          </w:p>
          <w:p>
            <w:pPr>
              <w:spacing w:line="276" w:lineRule="auto"/>
              <w:jc w:val="center"/>
              <w:rPr>
                <w:rFonts w:asciiTheme="minorEastAsia" w:hAnsiTheme="minorEastAsia" w:eastAsiaTheme="minorEastAsia" w:cstheme="minorEastAsia"/>
                <w:kern w:val="0"/>
                <w:szCs w:val="21"/>
              </w:rPr>
            </w:pPr>
          </w:p>
          <w:p>
            <w:pPr>
              <w:spacing w:line="276" w:lineRule="auto"/>
              <w:ind w:left="113" w:right="113"/>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初步评审</w:t>
            </w:r>
          </w:p>
        </w:tc>
        <w:tc>
          <w:tcPr>
            <w:tcW w:w="2121" w:type="dxa"/>
            <w:gridSpan w:val="2"/>
            <w:vAlign w:val="center"/>
          </w:tcPr>
          <w:p>
            <w:pPr>
              <w:spacing w:line="276"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参选人名称</w:t>
            </w:r>
          </w:p>
        </w:tc>
        <w:tc>
          <w:tcPr>
            <w:tcW w:w="5807" w:type="dxa"/>
            <w:vAlign w:val="center"/>
          </w:tcPr>
          <w:p>
            <w:pPr>
              <w:spacing w:line="276" w:lineRule="auto"/>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与营业执照一致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cantSplit/>
          <w:trHeight w:val="567" w:hRule="atLeast"/>
          <w:jc w:val="center"/>
        </w:trPr>
        <w:tc>
          <w:tcPr>
            <w:tcW w:w="1417" w:type="dxa"/>
            <w:vMerge w:val="continue"/>
          </w:tcPr>
          <w:p>
            <w:pPr>
              <w:spacing w:line="276" w:lineRule="auto"/>
              <w:ind w:left="113" w:right="113"/>
              <w:jc w:val="center"/>
              <w:rPr>
                <w:rFonts w:asciiTheme="minorEastAsia" w:hAnsiTheme="minorEastAsia" w:eastAsiaTheme="minorEastAsia" w:cstheme="minorEastAsia"/>
                <w:szCs w:val="21"/>
              </w:rPr>
            </w:pPr>
          </w:p>
        </w:tc>
        <w:tc>
          <w:tcPr>
            <w:tcW w:w="2121" w:type="dxa"/>
            <w:gridSpan w:val="2"/>
            <w:vAlign w:val="center"/>
          </w:tcPr>
          <w:p>
            <w:pPr>
              <w:spacing w:line="276"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参选文件签字盖章</w:t>
            </w:r>
          </w:p>
        </w:tc>
        <w:tc>
          <w:tcPr>
            <w:tcW w:w="5807" w:type="dxa"/>
            <w:vAlign w:val="center"/>
          </w:tcPr>
          <w:p>
            <w:pPr>
              <w:spacing w:line="276" w:lineRule="auto"/>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法定代表人或其委托代理人按比选文件要求签字或盖章。按比选文件要求盖参选人单位鲜公章。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cantSplit/>
          <w:trHeight w:val="567" w:hRule="atLeast"/>
          <w:jc w:val="center"/>
        </w:trPr>
        <w:tc>
          <w:tcPr>
            <w:tcW w:w="1417" w:type="dxa"/>
            <w:vMerge w:val="continue"/>
          </w:tcPr>
          <w:p>
            <w:pPr>
              <w:spacing w:line="276" w:lineRule="auto"/>
              <w:ind w:left="113" w:right="113"/>
              <w:jc w:val="center"/>
              <w:rPr>
                <w:rFonts w:asciiTheme="minorEastAsia" w:hAnsiTheme="minorEastAsia" w:eastAsiaTheme="minorEastAsia" w:cstheme="minorEastAsia"/>
                <w:szCs w:val="21"/>
              </w:rPr>
            </w:pPr>
          </w:p>
        </w:tc>
        <w:tc>
          <w:tcPr>
            <w:tcW w:w="2121" w:type="dxa"/>
            <w:gridSpan w:val="2"/>
            <w:vAlign w:val="center"/>
          </w:tcPr>
          <w:p>
            <w:pPr>
              <w:spacing w:line="276"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报价唯一</w:t>
            </w:r>
          </w:p>
        </w:tc>
        <w:tc>
          <w:tcPr>
            <w:tcW w:w="5807" w:type="dxa"/>
          </w:tcPr>
          <w:p>
            <w:pPr>
              <w:spacing w:line="276"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只能有一个有效报价，在比选文件没有规定的情况下，不得提交选择性报价。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cantSplit/>
          <w:trHeight w:val="567" w:hRule="atLeast"/>
          <w:jc w:val="center"/>
        </w:trPr>
        <w:tc>
          <w:tcPr>
            <w:tcW w:w="1417" w:type="dxa"/>
            <w:vMerge w:val="continue"/>
          </w:tcPr>
          <w:p>
            <w:pPr>
              <w:spacing w:line="276" w:lineRule="auto"/>
              <w:ind w:left="113" w:right="113"/>
              <w:jc w:val="center"/>
              <w:rPr>
                <w:rFonts w:asciiTheme="minorEastAsia" w:hAnsiTheme="minorEastAsia" w:eastAsiaTheme="minorEastAsia" w:cstheme="minorEastAsia"/>
                <w:szCs w:val="21"/>
              </w:rPr>
            </w:pPr>
          </w:p>
        </w:tc>
        <w:tc>
          <w:tcPr>
            <w:tcW w:w="2121" w:type="dxa"/>
            <w:gridSpan w:val="2"/>
            <w:vAlign w:val="center"/>
          </w:tcPr>
          <w:p>
            <w:pPr>
              <w:spacing w:line="276"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服务期</w:t>
            </w:r>
          </w:p>
        </w:tc>
        <w:tc>
          <w:tcPr>
            <w:tcW w:w="5807" w:type="dxa"/>
            <w:vAlign w:val="center"/>
          </w:tcPr>
          <w:p>
            <w:pPr>
              <w:spacing w:line="276" w:lineRule="auto"/>
              <w:ind w:firstLine="420" w:firstLineChars="200"/>
              <w:rPr>
                <w:rFonts w:asciiTheme="minorEastAsia" w:hAnsiTheme="minorEastAsia" w:eastAsiaTheme="minorEastAsia" w:cstheme="minorEastAsia"/>
                <w:szCs w:val="21"/>
              </w:rPr>
            </w:pPr>
            <w:bookmarkStart w:id="19" w:name="OLE_LINK3"/>
            <w:r>
              <w:rPr>
                <w:rFonts w:hint="eastAsia" w:asciiTheme="minorEastAsia" w:hAnsiTheme="minorEastAsia" w:eastAsiaTheme="minorEastAsia" w:cstheme="minorEastAsia"/>
                <w:kern w:val="0"/>
                <w:szCs w:val="21"/>
              </w:rPr>
              <w:t>符合第二章“参选人须知”第6款规定</w:t>
            </w:r>
            <w:bookmarkEnd w:id="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cantSplit/>
          <w:trHeight w:val="567" w:hRule="atLeast"/>
          <w:jc w:val="center"/>
        </w:trPr>
        <w:tc>
          <w:tcPr>
            <w:tcW w:w="1417" w:type="dxa"/>
            <w:vMerge w:val="continue"/>
          </w:tcPr>
          <w:p>
            <w:pPr>
              <w:spacing w:line="276" w:lineRule="auto"/>
              <w:ind w:left="113" w:right="113"/>
              <w:jc w:val="center"/>
              <w:rPr>
                <w:rFonts w:asciiTheme="minorEastAsia" w:hAnsiTheme="minorEastAsia" w:eastAsiaTheme="minorEastAsia" w:cstheme="minorEastAsia"/>
                <w:szCs w:val="21"/>
              </w:rPr>
            </w:pPr>
          </w:p>
        </w:tc>
        <w:tc>
          <w:tcPr>
            <w:tcW w:w="2121" w:type="dxa"/>
            <w:gridSpan w:val="2"/>
            <w:vAlign w:val="center"/>
          </w:tcPr>
          <w:p>
            <w:pPr>
              <w:spacing w:line="276"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资格要求</w:t>
            </w:r>
          </w:p>
        </w:tc>
        <w:tc>
          <w:tcPr>
            <w:tcW w:w="5807" w:type="dxa"/>
            <w:vAlign w:val="center"/>
          </w:tcPr>
          <w:p>
            <w:pPr>
              <w:spacing w:line="276" w:lineRule="auto"/>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符合第二章“参选人须知”第7款规定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cantSplit/>
          <w:trHeight w:val="782" w:hRule="atLeast"/>
          <w:jc w:val="center"/>
        </w:trPr>
        <w:tc>
          <w:tcPr>
            <w:tcW w:w="1417" w:type="dxa"/>
            <w:vMerge w:val="continue"/>
            <w:vAlign w:val="center"/>
          </w:tcPr>
          <w:p>
            <w:pPr>
              <w:spacing w:line="276" w:lineRule="auto"/>
              <w:ind w:left="113" w:right="113"/>
              <w:jc w:val="center"/>
              <w:rPr>
                <w:rFonts w:asciiTheme="minorEastAsia" w:hAnsiTheme="minorEastAsia" w:eastAsiaTheme="minorEastAsia" w:cstheme="minorEastAsia"/>
                <w:kern w:val="0"/>
                <w:szCs w:val="21"/>
              </w:rPr>
            </w:pPr>
          </w:p>
        </w:tc>
        <w:tc>
          <w:tcPr>
            <w:tcW w:w="2121" w:type="dxa"/>
            <w:gridSpan w:val="2"/>
            <w:vAlign w:val="center"/>
          </w:tcPr>
          <w:p>
            <w:pPr>
              <w:spacing w:line="276"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参选报价</w:t>
            </w:r>
          </w:p>
        </w:tc>
        <w:tc>
          <w:tcPr>
            <w:tcW w:w="5807" w:type="dxa"/>
          </w:tcPr>
          <w:p>
            <w:pPr>
              <w:spacing w:line="276"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符合比选文件给出的范围及数量，且参选报价不得高于比选人公布的最高限价，但也不得低于参选人的企业成本。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10" w:type="dxa"/>
            <w:gridSpan w:val="2"/>
            <w:vAlign w:val="center"/>
          </w:tcPr>
          <w:p>
            <w:pPr>
              <w:spacing w:line="276"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评选程序</w:t>
            </w:r>
          </w:p>
        </w:tc>
        <w:tc>
          <w:tcPr>
            <w:tcW w:w="6942" w:type="dxa"/>
            <w:gridSpan w:val="3"/>
          </w:tcPr>
          <w:p>
            <w:pPr>
              <w:spacing w:line="400" w:lineRule="exact"/>
              <w:ind w:firstLine="420" w:firstLineChars="200"/>
            </w:pPr>
            <w:r>
              <w:rPr>
                <w:rFonts w:hint="eastAsia"/>
              </w:rPr>
              <w:t>1.按本章初步评审要求进行初步评审，未通过初步评审或评选委员会认定为无效的参选文件的不再进行后续评审。</w:t>
            </w:r>
          </w:p>
          <w:p>
            <w:pPr>
              <w:spacing w:line="276" w:lineRule="auto"/>
              <w:ind w:firstLine="420" w:firstLineChars="200"/>
            </w:pPr>
            <w:r>
              <w:rPr>
                <w:rFonts w:hint="eastAsia"/>
              </w:rPr>
              <w:t>2.根据本章初步评审要求进行符合性审查。符合性审查合格的参选人中，报价最低的成为第一中选候选人，报价次低的成为第二中选候选人，依次类推。</w:t>
            </w:r>
          </w:p>
          <w:p>
            <w:pPr>
              <w:pStyle w:val="13"/>
              <w:ind w:firstLine="420" w:firstLineChars="200"/>
            </w:pPr>
            <w:r>
              <w:rPr>
                <w:rFonts w:hint="eastAsia" w:asciiTheme="minorEastAsia" w:hAnsiTheme="minorEastAsia" w:eastAsiaTheme="minorEastAsia" w:cstheme="minorEastAsia"/>
                <w:szCs w:val="21"/>
              </w:rPr>
              <w:t>若出现参选人参选报价相同的，由评标委员会按照业绩合同总金额由高到低的原则排序。</w:t>
            </w:r>
          </w:p>
        </w:tc>
      </w:tr>
      <w:bookmarkEnd w:id="18"/>
    </w:tbl>
    <w:p>
      <w:pPr>
        <w:ind w:firstLine="420" w:firstLineChars="200"/>
        <w:rPr>
          <w:rFonts w:ascii="宋体" w:hAnsi="宋体"/>
        </w:rPr>
        <w:sectPr>
          <w:pgSz w:w="11906" w:h="16838"/>
          <w:pgMar w:top="1134" w:right="1134" w:bottom="1134" w:left="1134" w:header="851" w:footer="992" w:gutter="0"/>
          <w:cols w:space="425" w:num="1"/>
          <w:docGrid w:type="lines" w:linePitch="312" w:charSpace="0"/>
        </w:sectPr>
      </w:pPr>
    </w:p>
    <w:p>
      <w:pPr>
        <w:pStyle w:val="3"/>
        <w:numPr>
          <w:ilvl w:val="0"/>
          <w:numId w:val="2"/>
        </w:numPr>
        <w:spacing w:before="240" w:after="240" w:line="240" w:lineRule="auto"/>
        <w:jc w:val="center"/>
        <w:rPr>
          <w:rFonts w:ascii="宋体" w:hAnsi="宋体"/>
          <w:sz w:val="32"/>
          <w:szCs w:val="32"/>
        </w:rPr>
      </w:pPr>
      <w:bookmarkStart w:id="20" w:name="_Toc16196573"/>
      <w:r>
        <w:rPr>
          <w:rFonts w:hint="eastAsia" w:ascii="宋体" w:hAnsi="宋体"/>
          <w:sz w:val="32"/>
          <w:szCs w:val="32"/>
        </w:rPr>
        <w:t>合同格式</w:t>
      </w:r>
    </w:p>
    <w:bookmarkEnd w:id="20"/>
    <w:p>
      <w:pPr>
        <w:pStyle w:val="3"/>
        <w:spacing w:before="312" w:after="312"/>
        <w:jc w:val="center"/>
        <w:rPr>
          <w:rFonts w:ascii="方正小标宋_GBK" w:hAnsi="方正小标宋_GBK" w:eastAsia="方正小标宋_GBK" w:cs="方正小标宋_GBK"/>
          <w:color w:val="000000" w:themeColor="text1"/>
          <w:kern w:val="2"/>
          <w:sz w:val="32"/>
          <w:szCs w:val="32"/>
          <w14:textFill>
            <w14:solidFill>
              <w14:schemeClr w14:val="tx1"/>
            </w14:solidFill>
          </w14:textFill>
        </w:rPr>
      </w:pPr>
      <w:bookmarkStart w:id="21" w:name="_Toc16415"/>
      <w:bookmarkStart w:id="22" w:name="_Toc26353"/>
      <w:r>
        <w:rPr>
          <w:rFonts w:hint="eastAsia" w:ascii="方正小标宋_GBK" w:hAnsi="方正小标宋_GBK" w:cs="方正小标宋_GBK"/>
          <w:color w:val="000000" w:themeColor="text1"/>
          <w:kern w:val="2"/>
          <w:sz w:val="32"/>
          <w:szCs w:val="32"/>
          <w14:textFill>
            <w14:solidFill>
              <w14:schemeClr w14:val="tx1"/>
            </w14:solidFill>
          </w14:textFill>
        </w:rPr>
        <w:t>xxx</w:t>
      </w:r>
      <w:r>
        <w:rPr>
          <w:rFonts w:hint="eastAsia" w:ascii="方正小标宋_GBK" w:hAnsi="方正小标宋_GBK" w:eastAsia="方正小标宋_GBK" w:cs="方正小标宋_GBK"/>
          <w:color w:val="000000" w:themeColor="text1"/>
          <w:kern w:val="2"/>
          <w:sz w:val="32"/>
          <w:szCs w:val="32"/>
          <w14:textFill>
            <w14:solidFill>
              <w14:schemeClr w14:val="tx1"/>
            </w14:solidFill>
          </w14:textFill>
        </w:rPr>
        <w:t>有限公司</w:t>
      </w:r>
      <w:bookmarkEnd w:id="21"/>
      <w:bookmarkEnd w:id="22"/>
    </w:p>
    <w:p>
      <w:pPr>
        <w:spacing w:line="360" w:lineRule="auto"/>
        <w:jc w:val="center"/>
        <w:rPr>
          <w:rFonts w:ascii="方正小标宋_GBK" w:hAnsi="方正小标宋_GBK" w:eastAsia="方正小标宋_GBK" w:cs="方正小标宋_GBK"/>
          <w:b/>
          <w:bCs/>
          <w:color w:val="000000" w:themeColor="text1"/>
          <w:sz w:val="32"/>
          <w:szCs w:val="32"/>
          <w14:textFill>
            <w14:solidFill>
              <w14:schemeClr w14:val="tx1"/>
            </w14:solidFill>
          </w14:textFill>
        </w:rPr>
      </w:pPr>
      <w:r>
        <w:rPr>
          <w:rFonts w:hint="eastAsia" w:ascii="方正小标宋_GBK" w:hAnsi="方正小标宋_GBK" w:eastAsia="方正小标宋_GBK" w:cs="方正小标宋_GBK"/>
          <w:b/>
          <w:bCs/>
          <w:color w:val="000000" w:themeColor="text1"/>
          <w:sz w:val="32"/>
          <w:szCs w:val="32"/>
          <w14:textFill>
            <w14:solidFill>
              <w14:schemeClr w14:val="tx1"/>
            </w14:solidFill>
          </w14:textFill>
        </w:rPr>
        <w:t>补充医疗保险协议</w:t>
      </w:r>
    </w:p>
    <w:p>
      <w:pPr>
        <w:spacing w:line="360" w:lineRule="auto"/>
        <w:jc w:val="center"/>
        <w:rPr>
          <w:rFonts w:ascii="宋体" w:hAnsi="宋体" w:cs="宋体"/>
          <w:b/>
          <w:color w:val="000000" w:themeColor="text1"/>
          <w:szCs w:val="21"/>
          <w14:textFill>
            <w14:solidFill>
              <w14:schemeClr w14:val="tx1"/>
            </w14:solidFill>
          </w14:textFill>
        </w:rPr>
      </w:pPr>
    </w:p>
    <w:p>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 xml:space="preserve">                              </w:t>
      </w:r>
    </w:p>
    <w:p>
      <w:pPr>
        <w:tabs>
          <w:tab w:val="left" w:pos="2685"/>
        </w:tabs>
        <w:spacing w:line="360" w:lineRule="auto"/>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ab/>
      </w:r>
    </w:p>
    <w:p>
      <w:pPr>
        <w:spacing w:line="360" w:lineRule="auto"/>
        <w:jc w:val="center"/>
        <w:rPr>
          <w:rFonts w:ascii="宋体" w:hAnsi="宋体" w:cs="宋体"/>
          <w:b/>
          <w:color w:val="000000" w:themeColor="text1"/>
          <w:szCs w:val="21"/>
          <w14:textFill>
            <w14:solidFill>
              <w14:schemeClr w14:val="tx1"/>
            </w14:solidFill>
          </w14:textFill>
        </w:rPr>
      </w:pPr>
    </w:p>
    <w:p>
      <w:pPr>
        <w:spacing w:line="360" w:lineRule="auto"/>
        <w:jc w:val="center"/>
        <w:rPr>
          <w:rFonts w:ascii="宋体" w:hAnsi="宋体" w:cs="宋体"/>
          <w:b/>
          <w:color w:val="000000" w:themeColor="text1"/>
          <w:szCs w:val="21"/>
          <w14:textFill>
            <w14:solidFill>
              <w14:schemeClr w14:val="tx1"/>
            </w14:solidFill>
          </w14:textFill>
        </w:rPr>
      </w:pPr>
    </w:p>
    <w:p>
      <w:pPr>
        <w:spacing w:line="360" w:lineRule="auto"/>
        <w:jc w:val="center"/>
        <w:rPr>
          <w:rFonts w:ascii="宋体" w:hAnsi="宋体" w:cs="宋体"/>
          <w:b/>
          <w:color w:val="000000" w:themeColor="text1"/>
          <w:szCs w:val="21"/>
          <w14:textFill>
            <w14:solidFill>
              <w14:schemeClr w14:val="tx1"/>
            </w14:solidFill>
          </w14:textFill>
        </w:rPr>
      </w:pPr>
    </w:p>
    <w:p>
      <w:pPr>
        <w:spacing w:line="360" w:lineRule="auto"/>
        <w:jc w:val="center"/>
        <w:rPr>
          <w:rFonts w:ascii="宋体" w:hAnsi="宋体" w:cs="宋体"/>
          <w:b/>
          <w:color w:val="000000" w:themeColor="text1"/>
          <w:szCs w:val="21"/>
          <w14:textFill>
            <w14:solidFill>
              <w14:schemeClr w14:val="tx1"/>
            </w14:solidFill>
          </w14:textFill>
        </w:rPr>
      </w:pPr>
    </w:p>
    <w:p>
      <w:pPr>
        <w:spacing w:line="360" w:lineRule="auto"/>
        <w:jc w:val="center"/>
        <w:rPr>
          <w:rFonts w:ascii="宋体" w:hAnsi="宋体" w:cs="宋体"/>
          <w:b/>
          <w:color w:val="000000" w:themeColor="text1"/>
          <w:szCs w:val="21"/>
          <w14:textFill>
            <w14:solidFill>
              <w14:schemeClr w14:val="tx1"/>
            </w14:solidFill>
          </w14:textFill>
        </w:rPr>
      </w:pPr>
    </w:p>
    <w:p>
      <w:pPr>
        <w:spacing w:line="360" w:lineRule="auto"/>
        <w:jc w:val="center"/>
        <w:rPr>
          <w:rFonts w:ascii="方正小标宋_GBK" w:hAnsi="方正小标宋_GBK" w:eastAsia="方正小标宋_GBK" w:cs="方正小标宋_GBK"/>
          <w:color w:val="000000" w:themeColor="text1"/>
          <w:szCs w:val="21"/>
          <w14:textFill>
            <w14:solidFill>
              <w14:schemeClr w14:val="tx1"/>
            </w14:solidFill>
          </w14:textFill>
        </w:rPr>
      </w:pPr>
    </w:p>
    <w:p>
      <w:pPr>
        <w:spacing w:line="360" w:lineRule="auto"/>
        <w:jc w:val="center"/>
        <w:rPr>
          <w:rFonts w:ascii="方正小标宋_GBK" w:hAnsi="方正小标宋_GBK" w:eastAsia="方正小标宋_GBK" w:cs="方正小标宋_GBK"/>
          <w:color w:val="000000" w:themeColor="text1"/>
          <w:szCs w:val="21"/>
          <w14:textFill>
            <w14:solidFill>
              <w14:schemeClr w14:val="tx1"/>
            </w14:solidFill>
          </w14:textFill>
        </w:rPr>
      </w:pPr>
    </w:p>
    <w:p>
      <w:pPr>
        <w:spacing w:line="360" w:lineRule="auto"/>
        <w:jc w:val="center"/>
        <w:rPr>
          <w:rFonts w:ascii="方正小标宋_GBK" w:hAnsi="方正小标宋_GBK" w:eastAsia="方正小标宋_GBK" w:cs="方正小标宋_GBK"/>
          <w:color w:val="000000" w:themeColor="text1"/>
          <w:sz w:val="28"/>
          <w:szCs w:val="28"/>
          <w14:textFill>
            <w14:solidFill>
              <w14:schemeClr w14:val="tx1"/>
            </w14:solidFill>
          </w14:textFill>
        </w:rPr>
      </w:pPr>
    </w:p>
    <w:p>
      <w:pPr>
        <w:spacing w:line="360" w:lineRule="auto"/>
        <w:jc w:val="center"/>
        <w:rPr>
          <w:rFonts w:ascii="方正小标宋_GBK" w:hAnsi="方正小标宋_GBK" w:eastAsia="方正小标宋_GBK" w:cs="方正小标宋_GBK"/>
          <w:color w:val="000000" w:themeColor="text1"/>
          <w:sz w:val="28"/>
          <w:szCs w:val="28"/>
          <w14:textFill>
            <w14:solidFill>
              <w14:schemeClr w14:val="tx1"/>
            </w14:solidFill>
          </w14:textFill>
        </w:rPr>
      </w:pPr>
    </w:p>
    <w:p>
      <w:pPr>
        <w:spacing w:line="360" w:lineRule="auto"/>
        <w:jc w:val="center"/>
        <w:rPr>
          <w:rFonts w:ascii="方正小标宋_GBK" w:hAnsi="方正小标宋_GBK" w:eastAsia="方正小标宋_GBK" w:cs="方正小标宋_GBK"/>
          <w:color w:val="000000" w:themeColor="text1"/>
          <w:sz w:val="28"/>
          <w:szCs w:val="28"/>
          <w14:textFill>
            <w14:solidFill>
              <w14:schemeClr w14:val="tx1"/>
            </w14:solidFill>
          </w14:textFill>
        </w:rPr>
      </w:pPr>
      <w:r>
        <w:rPr>
          <w:rFonts w:hint="eastAsia" w:ascii="方正小标宋_GBK" w:hAnsi="方正小标宋_GBK" w:eastAsia="方正小标宋_GBK" w:cs="方正小标宋_GBK"/>
          <w:color w:val="000000" w:themeColor="text1"/>
          <w:sz w:val="28"/>
          <w:szCs w:val="28"/>
          <w14:textFill>
            <w14:solidFill>
              <w14:schemeClr w14:val="tx1"/>
            </w14:solidFill>
          </w14:textFill>
        </w:rPr>
        <w:t>签署时间：    年   月  日</w:t>
      </w:r>
    </w:p>
    <w:p>
      <w:pPr>
        <w:spacing w:line="360" w:lineRule="auto"/>
        <w:jc w:val="center"/>
        <w:rPr>
          <w:rFonts w:ascii="宋体" w:hAnsi="宋体" w:cs="宋体"/>
          <w:color w:val="000000" w:themeColor="text1"/>
          <w:szCs w:val="21"/>
          <w14:textFill>
            <w14:solidFill>
              <w14:schemeClr w14:val="tx1"/>
            </w14:solidFill>
          </w14:textFill>
        </w:rPr>
      </w:pPr>
    </w:p>
    <w:p>
      <w:pPr>
        <w:spacing w:line="360" w:lineRule="auto"/>
        <w:jc w:val="center"/>
        <w:rPr>
          <w:rFonts w:ascii="宋体" w:hAnsi="宋体" w:cs="宋体"/>
          <w:color w:val="000000" w:themeColor="text1"/>
          <w:szCs w:val="21"/>
          <w14:textFill>
            <w14:solidFill>
              <w14:schemeClr w14:val="tx1"/>
            </w14:solidFill>
          </w14:textFill>
        </w:rPr>
      </w:pPr>
    </w:p>
    <w:p>
      <w:pPr>
        <w:spacing w:line="360" w:lineRule="auto"/>
        <w:jc w:val="center"/>
        <w:rPr>
          <w:rFonts w:ascii="宋体" w:hAnsi="宋体" w:cs="宋体"/>
          <w:color w:val="000000" w:themeColor="text1"/>
          <w:szCs w:val="21"/>
          <w14:textFill>
            <w14:solidFill>
              <w14:schemeClr w14:val="tx1"/>
            </w14:solidFill>
          </w14:textFill>
        </w:rPr>
      </w:pPr>
    </w:p>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ab/>
      </w:r>
    </w:p>
    <w:p>
      <w:pPr>
        <w:rPr>
          <w:rFonts w:ascii="方正仿宋_GBK" w:hAnsi="方正仿宋_GBK" w:eastAsia="方正仿宋_GBK" w:cs="方正仿宋_GBK"/>
          <w:b/>
          <w:bCs/>
          <w:color w:val="000000" w:themeColor="text1"/>
          <w:sz w:val="32"/>
          <w:szCs w:val="32"/>
          <w14:textFill>
            <w14:solidFill>
              <w14:schemeClr w14:val="tx1"/>
            </w14:solidFill>
          </w14:textFill>
        </w:rPr>
      </w:pPr>
      <w:r>
        <w:rPr>
          <w:rFonts w:hint="eastAsia" w:ascii="方正仿宋_GBK" w:hAnsi="方正仿宋_GBK" w:eastAsia="方正仿宋_GBK" w:cs="方正仿宋_GBK"/>
          <w:b/>
          <w:bCs/>
          <w:color w:val="000000" w:themeColor="text1"/>
          <w:sz w:val="32"/>
          <w:szCs w:val="32"/>
          <w14:textFill>
            <w14:solidFill>
              <w14:schemeClr w14:val="tx1"/>
            </w14:solidFill>
          </w14:textFill>
        </w:rPr>
        <w:br w:type="page"/>
      </w:r>
    </w:p>
    <w:p>
      <w:pPr>
        <w:pStyle w:val="13"/>
        <w:tabs>
          <w:tab w:val="left" w:pos="840"/>
          <w:tab w:val="center" w:pos="4252"/>
          <w:tab w:val="left" w:pos="7669"/>
          <w:tab w:val="right" w:leader="dot" w:pos="8494"/>
        </w:tabs>
        <w:spacing w:line="360" w:lineRule="auto"/>
        <w:jc w:val="center"/>
        <w:rPr>
          <w:rFonts w:ascii="方正仿宋_GBK" w:hAnsi="方正仿宋_GBK" w:eastAsia="方正仿宋_GBK" w:cs="方正仿宋_GBK"/>
          <w:b/>
          <w:bCs/>
          <w:color w:val="000000" w:themeColor="text1"/>
          <w:sz w:val="32"/>
          <w:szCs w:val="32"/>
          <w14:textFill>
            <w14:solidFill>
              <w14:schemeClr w14:val="tx1"/>
            </w14:solidFill>
          </w14:textFill>
        </w:rPr>
      </w:pPr>
      <w:r>
        <w:rPr>
          <w:rFonts w:hint="eastAsia" w:ascii="方正仿宋_GBK" w:hAnsi="方正仿宋_GBK" w:eastAsia="方正仿宋_GBK" w:cs="方正仿宋_GBK"/>
          <w:b/>
          <w:bCs/>
          <w:color w:val="000000" w:themeColor="text1"/>
          <w:sz w:val="32"/>
          <w:szCs w:val="32"/>
          <w14:textFill>
            <w14:solidFill>
              <w14:schemeClr w14:val="tx1"/>
            </w14:solidFill>
          </w14:textFill>
        </w:rPr>
        <w:t>目  录</w:t>
      </w:r>
    </w:p>
    <w:p>
      <w:pPr>
        <w:rPr>
          <w:rFonts w:ascii="宋体" w:hAnsi="宋体" w:cs="宋体"/>
          <w:color w:val="000000" w:themeColor="text1"/>
          <w:szCs w:val="21"/>
          <w14:textFill>
            <w14:solidFill>
              <w14:schemeClr w14:val="tx1"/>
            </w14:solidFill>
          </w14:textFill>
        </w:rPr>
      </w:pPr>
    </w:p>
    <w:p>
      <w:pPr>
        <w:rPr>
          <w:rFonts w:ascii="宋体" w:hAnsi="宋体" w:cs="宋体"/>
          <w:color w:val="000000" w:themeColor="text1"/>
          <w:szCs w:val="21"/>
          <w14:textFill>
            <w14:solidFill>
              <w14:schemeClr w14:val="tx1"/>
            </w14:solidFill>
          </w14:textFill>
        </w:rPr>
      </w:pPr>
    </w:p>
    <w:p>
      <w:pPr>
        <w:pStyle w:val="13"/>
        <w:tabs>
          <w:tab w:val="right" w:leader="dot" w:pos="9638"/>
        </w:tabs>
        <w:rPr>
          <w:color w:val="000000" w:themeColor="text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fldChar w:fldCharType="begin"/>
      </w:r>
      <w:r>
        <w:rPr>
          <w:rFonts w:hint="eastAsia" w:ascii="宋体" w:hAnsi="宋体" w:cs="宋体"/>
          <w:bCs/>
          <w:color w:val="000000" w:themeColor="text1"/>
          <w:szCs w:val="21"/>
          <w14:textFill>
            <w14:solidFill>
              <w14:schemeClr w14:val="tx1"/>
            </w14:solidFill>
          </w14:textFill>
        </w:rPr>
        <w:instrText xml:space="preserve"> TOC \o "1-3" \h \z \u </w:instrText>
      </w:r>
      <w:r>
        <w:rPr>
          <w:rFonts w:hint="eastAsia" w:ascii="宋体" w:hAnsi="宋体" w:cs="宋体"/>
          <w:bCs/>
          <w:color w:val="000000" w:themeColor="text1"/>
          <w:szCs w:val="21"/>
          <w14:textFill>
            <w14:solidFill>
              <w14:schemeClr w14:val="tx1"/>
            </w14:solidFill>
          </w14:textFill>
        </w:rPr>
        <w:fldChar w:fldCharType="separate"/>
      </w:r>
      <w:r>
        <w:fldChar w:fldCharType="begin"/>
      </w:r>
      <w:r>
        <w:instrText xml:space="preserve"> HYPERLINK \l "_Toc30704" </w:instrText>
      </w:r>
      <w:r>
        <w:fldChar w:fldCharType="separate"/>
      </w:r>
      <w:r>
        <w:rPr>
          <w:rFonts w:hint="eastAsia" w:ascii="方正小标宋_GBK" w:hAnsi="方正小标宋_GBK" w:eastAsia="方正小标宋_GBK" w:cs="方正小标宋_GBK"/>
          <w:color w:val="000000" w:themeColor="text1"/>
          <w:szCs w:val="28"/>
          <w14:textFill>
            <w14:solidFill>
              <w14:schemeClr w14:val="tx1"/>
            </w14:solidFill>
          </w14:textFill>
        </w:rPr>
        <w:t>一、 投保基本情况及条款</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_Toc30704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11</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3"/>
        <w:tabs>
          <w:tab w:val="right" w:leader="dot" w:pos="9638"/>
        </w:tabs>
        <w:rPr>
          <w:color w:val="000000" w:themeColor="text1"/>
          <w14:textFill>
            <w14:solidFill>
              <w14:schemeClr w14:val="tx1"/>
            </w14:solidFill>
          </w14:textFill>
        </w:rPr>
      </w:pPr>
      <w:r>
        <w:fldChar w:fldCharType="begin"/>
      </w:r>
      <w:r>
        <w:instrText xml:space="preserve"> HYPERLINK \l "_Toc16265" </w:instrText>
      </w:r>
      <w:r>
        <w:fldChar w:fldCharType="separate"/>
      </w:r>
      <w:r>
        <w:rPr>
          <w:rFonts w:hint="eastAsia" w:ascii="方正小标宋_GBK" w:hAnsi="方正小标宋_GBK" w:eastAsia="方正小标宋_GBK" w:cs="方正小标宋_GBK"/>
          <w:bCs/>
          <w:color w:val="000000" w:themeColor="text1"/>
          <w:szCs w:val="28"/>
          <w14:textFill>
            <w14:solidFill>
              <w14:schemeClr w14:val="tx1"/>
            </w14:solidFill>
          </w14:textFill>
        </w:rPr>
        <w:t>二、 保险期限</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_Toc16265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11</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3"/>
        <w:tabs>
          <w:tab w:val="right" w:leader="dot" w:pos="9638"/>
        </w:tabs>
        <w:rPr>
          <w:color w:val="000000" w:themeColor="text1"/>
          <w14:textFill>
            <w14:solidFill>
              <w14:schemeClr w14:val="tx1"/>
            </w14:solidFill>
          </w14:textFill>
        </w:rPr>
      </w:pPr>
      <w:r>
        <w:fldChar w:fldCharType="begin"/>
      </w:r>
      <w:r>
        <w:instrText xml:space="preserve"> HYPERLINK \l "_Toc10247" </w:instrText>
      </w:r>
      <w:r>
        <w:fldChar w:fldCharType="separate"/>
      </w:r>
      <w:r>
        <w:rPr>
          <w:rFonts w:hint="eastAsia" w:ascii="方正小标宋_GBK" w:hAnsi="方正小标宋_GBK" w:eastAsia="方正小标宋_GBK" w:cs="方正小标宋_GBK"/>
          <w:bCs/>
          <w:color w:val="000000" w:themeColor="text1"/>
          <w:szCs w:val="28"/>
          <w14:textFill>
            <w14:solidFill>
              <w14:schemeClr w14:val="tx1"/>
            </w14:solidFill>
          </w14:textFill>
        </w:rPr>
        <w:t>三、 被保险人</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_Toc10247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12</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3"/>
        <w:tabs>
          <w:tab w:val="right" w:leader="dot" w:pos="9638"/>
        </w:tabs>
        <w:rPr>
          <w:color w:val="000000" w:themeColor="text1"/>
          <w14:textFill>
            <w14:solidFill>
              <w14:schemeClr w14:val="tx1"/>
            </w14:solidFill>
          </w14:textFill>
        </w:rPr>
      </w:pPr>
      <w:r>
        <w:fldChar w:fldCharType="begin"/>
      </w:r>
      <w:r>
        <w:instrText xml:space="preserve"> HYPERLINK \l "_Toc9313" </w:instrText>
      </w:r>
      <w:r>
        <w:fldChar w:fldCharType="separate"/>
      </w:r>
      <w:r>
        <w:rPr>
          <w:rFonts w:hint="eastAsia" w:ascii="方正小标宋_GBK" w:hAnsi="方正小标宋_GBK" w:eastAsia="方正小标宋_GBK" w:cs="方正小标宋_GBK"/>
          <w:bCs/>
          <w:color w:val="000000" w:themeColor="text1"/>
          <w:szCs w:val="28"/>
          <w14:textFill>
            <w14:solidFill>
              <w14:schemeClr w14:val="tx1"/>
            </w14:solidFill>
          </w14:textFill>
        </w:rPr>
        <w:t>四、 保险方案</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_Toc9313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12</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3"/>
        <w:tabs>
          <w:tab w:val="right" w:leader="dot" w:pos="9638"/>
        </w:tabs>
        <w:rPr>
          <w:color w:val="000000" w:themeColor="text1"/>
          <w14:textFill>
            <w14:solidFill>
              <w14:schemeClr w14:val="tx1"/>
            </w14:solidFill>
          </w14:textFill>
        </w:rPr>
      </w:pPr>
      <w:r>
        <w:fldChar w:fldCharType="begin"/>
      </w:r>
      <w:r>
        <w:instrText xml:space="preserve"> HYPERLINK \l "_Toc29381" </w:instrText>
      </w:r>
      <w:r>
        <w:fldChar w:fldCharType="separate"/>
      </w:r>
      <w:r>
        <w:rPr>
          <w:rFonts w:hint="eastAsia" w:ascii="方正小标宋_GBK" w:hAnsi="方正小标宋_GBK" w:eastAsia="方正小标宋_GBK" w:cs="方正小标宋_GBK"/>
          <w:bCs/>
          <w:color w:val="000000" w:themeColor="text1"/>
          <w:szCs w:val="28"/>
          <w14:textFill>
            <w14:solidFill>
              <w14:schemeClr w14:val="tx1"/>
            </w14:solidFill>
          </w14:textFill>
        </w:rPr>
        <w:t>五、 其它特别约定</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_Toc29381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12</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3"/>
        <w:tabs>
          <w:tab w:val="right" w:leader="dot" w:pos="9638"/>
        </w:tabs>
        <w:rPr>
          <w:color w:val="000000" w:themeColor="text1"/>
          <w14:textFill>
            <w14:solidFill>
              <w14:schemeClr w14:val="tx1"/>
            </w14:solidFill>
          </w14:textFill>
        </w:rPr>
      </w:pPr>
      <w:r>
        <w:fldChar w:fldCharType="begin"/>
      </w:r>
      <w:r>
        <w:instrText xml:space="preserve"> HYPERLINK \l "_Toc20082" </w:instrText>
      </w:r>
      <w:r>
        <w:fldChar w:fldCharType="separate"/>
      </w:r>
      <w:r>
        <w:rPr>
          <w:rFonts w:hint="eastAsia" w:ascii="方正小标宋_GBK" w:hAnsi="方正小标宋_GBK" w:eastAsia="方正小标宋_GBK" w:cs="方正小标宋_GBK"/>
          <w:bCs/>
          <w:color w:val="000000" w:themeColor="text1"/>
          <w:szCs w:val="28"/>
          <w14:textFill>
            <w14:solidFill>
              <w14:schemeClr w14:val="tx1"/>
            </w14:solidFill>
          </w14:textFill>
        </w:rPr>
        <w:t>六、 保险费缴纳</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_Toc20082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13</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3"/>
        <w:tabs>
          <w:tab w:val="right" w:leader="dot" w:pos="9638"/>
        </w:tabs>
        <w:rPr>
          <w:color w:val="000000" w:themeColor="text1"/>
          <w14:textFill>
            <w14:solidFill>
              <w14:schemeClr w14:val="tx1"/>
            </w14:solidFill>
          </w14:textFill>
        </w:rPr>
      </w:pPr>
      <w:r>
        <w:fldChar w:fldCharType="begin"/>
      </w:r>
      <w:r>
        <w:instrText xml:space="preserve"> HYPERLINK \l "_Toc29522" </w:instrText>
      </w:r>
      <w:r>
        <w:fldChar w:fldCharType="separate"/>
      </w:r>
      <w:r>
        <w:rPr>
          <w:rFonts w:hint="eastAsia" w:ascii="方正小标宋_GBK" w:hAnsi="方正小标宋_GBK" w:eastAsia="方正小标宋_GBK" w:cs="方正小标宋_GBK"/>
          <w:bCs/>
          <w:color w:val="000000" w:themeColor="text1"/>
          <w:szCs w:val="28"/>
          <w14:textFill>
            <w14:solidFill>
              <w14:schemeClr w14:val="tx1"/>
            </w14:solidFill>
          </w14:textFill>
        </w:rPr>
        <w:t>七、 保全服务事项</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_Toc29522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13</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3"/>
        <w:tabs>
          <w:tab w:val="right" w:leader="dot" w:pos="9638"/>
        </w:tabs>
        <w:rPr>
          <w:color w:val="000000" w:themeColor="text1"/>
          <w14:textFill>
            <w14:solidFill>
              <w14:schemeClr w14:val="tx1"/>
            </w14:solidFill>
          </w14:textFill>
        </w:rPr>
      </w:pPr>
      <w:r>
        <w:fldChar w:fldCharType="begin"/>
      </w:r>
      <w:r>
        <w:instrText xml:space="preserve"> HYPERLINK \l "_Toc30638" </w:instrText>
      </w:r>
      <w:r>
        <w:fldChar w:fldCharType="separate"/>
      </w:r>
      <w:r>
        <w:rPr>
          <w:rFonts w:hint="eastAsia" w:ascii="方正小标宋_GBK" w:hAnsi="方正小标宋_GBK" w:eastAsia="方正小标宋_GBK" w:cs="方正小标宋_GBK"/>
          <w:bCs/>
          <w:color w:val="000000" w:themeColor="text1"/>
          <w:szCs w:val="28"/>
          <w14:textFill>
            <w14:solidFill>
              <w14:schemeClr w14:val="tx1"/>
            </w14:solidFill>
          </w14:textFill>
        </w:rPr>
        <w:t>八、 理赔服务事项</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_Toc30638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14</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3"/>
        <w:tabs>
          <w:tab w:val="right" w:leader="dot" w:pos="9638"/>
        </w:tabs>
        <w:rPr>
          <w:color w:val="000000" w:themeColor="text1"/>
          <w14:textFill>
            <w14:solidFill>
              <w14:schemeClr w14:val="tx1"/>
            </w14:solidFill>
          </w14:textFill>
        </w:rPr>
      </w:pPr>
      <w:r>
        <w:fldChar w:fldCharType="begin"/>
      </w:r>
      <w:r>
        <w:instrText xml:space="preserve"> HYPERLINK \l "_Toc407" </w:instrText>
      </w:r>
      <w:r>
        <w:fldChar w:fldCharType="separate"/>
      </w:r>
      <w:r>
        <w:rPr>
          <w:rFonts w:hint="eastAsia" w:ascii="方正小标宋_GBK" w:hAnsi="方正小标宋_GBK" w:eastAsia="方正小标宋_GBK" w:cs="方正小标宋_GBK"/>
          <w:bCs/>
          <w:color w:val="000000" w:themeColor="text1"/>
          <w:szCs w:val="28"/>
          <w14:textFill>
            <w14:solidFill>
              <w14:schemeClr w14:val="tx1"/>
            </w14:solidFill>
          </w14:textFill>
        </w:rPr>
        <w:t>九、 保险金支付注意事项</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_Toc407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15</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3"/>
        <w:tabs>
          <w:tab w:val="right" w:leader="dot" w:pos="9638"/>
        </w:tabs>
        <w:rPr>
          <w:color w:val="000000" w:themeColor="text1"/>
          <w14:textFill>
            <w14:solidFill>
              <w14:schemeClr w14:val="tx1"/>
            </w14:solidFill>
          </w14:textFill>
        </w:rPr>
      </w:pPr>
      <w:r>
        <w:fldChar w:fldCharType="begin"/>
      </w:r>
      <w:r>
        <w:instrText xml:space="preserve"> HYPERLINK \l "_Toc3855" </w:instrText>
      </w:r>
      <w:r>
        <w:fldChar w:fldCharType="separate"/>
      </w:r>
      <w:r>
        <w:rPr>
          <w:rFonts w:hint="eastAsia" w:ascii="方正小标宋_GBK" w:hAnsi="方正小标宋_GBK" w:eastAsia="方正小标宋_GBK" w:cs="方正小标宋_GBK"/>
          <w:bCs/>
          <w:color w:val="000000" w:themeColor="text1"/>
          <w:szCs w:val="28"/>
          <w14:textFill>
            <w14:solidFill>
              <w14:schemeClr w14:val="tx1"/>
            </w14:solidFill>
          </w14:textFill>
        </w:rPr>
        <w:t>十、 如实告知</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_Toc3855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15</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3"/>
        <w:tabs>
          <w:tab w:val="right" w:leader="dot" w:pos="9638"/>
        </w:tabs>
        <w:rPr>
          <w:color w:val="000000" w:themeColor="text1"/>
          <w14:textFill>
            <w14:solidFill>
              <w14:schemeClr w14:val="tx1"/>
            </w14:solidFill>
          </w14:textFill>
        </w:rPr>
      </w:pPr>
      <w:r>
        <w:fldChar w:fldCharType="begin"/>
      </w:r>
      <w:r>
        <w:instrText xml:space="preserve"> HYPERLINK \l "_Toc21624" </w:instrText>
      </w:r>
      <w:r>
        <w:fldChar w:fldCharType="separate"/>
      </w:r>
      <w:r>
        <w:rPr>
          <w:rFonts w:hint="eastAsia" w:ascii="方正小标宋_GBK" w:hAnsi="方正小标宋_GBK" w:eastAsia="方正小标宋_GBK" w:cs="方正小标宋_GBK"/>
          <w:bCs/>
          <w:color w:val="000000" w:themeColor="text1"/>
          <w:szCs w:val="28"/>
          <w14:textFill>
            <w14:solidFill>
              <w14:schemeClr w14:val="tx1"/>
            </w14:solidFill>
          </w14:textFill>
        </w:rPr>
        <w:t>十一、 释义</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_Toc21624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16</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3"/>
        <w:tabs>
          <w:tab w:val="right" w:leader="dot" w:pos="9638"/>
        </w:tabs>
        <w:rPr>
          <w:color w:val="000000" w:themeColor="text1"/>
          <w14:textFill>
            <w14:solidFill>
              <w14:schemeClr w14:val="tx1"/>
            </w14:solidFill>
          </w14:textFill>
        </w:rPr>
      </w:pPr>
      <w:r>
        <w:fldChar w:fldCharType="begin"/>
      </w:r>
      <w:r>
        <w:instrText xml:space="preserve"> HYPERLINK \l "_Toc11388" </w:instrText>
      </w:r>
      <w:r>
        <w:fldChar w:fldCharType="separate"/>
      </w:r>
      <w:r>
        <w:rPr>
          <w:rFonts w:hint="eastAsia" w:ascii="方正小标宋_GBK" w:hAnsi="方正小标宋_GBK" w:eastAsia="方正小标宋_GBK" w:cs="方正小标宋_GBK"/>
          <w:bCs/>
          <w:color w:val="000000" w:themeColor="text1"/>
          <w:szCs w:val="28"/>
          <w14:textFill>
            <w14:solidFill>
              <w14:schemeClr w14:val="tx1"/>
            </w14:solidFill>
          </w14:textFill>
        </w:rPr>
        <w:t>十二、 反商业贿赂条款</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_Toc11388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16</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3"/>
        <w:tabs>
          <w:tab w:val="right" w:leader="dot" w:pos="9638"/>
        </w:tabs>
        <w:rPr>
          <w:color w:val="000000" w:themeColor="text1"/>
          <w14:textFill>
            <w14:solidFill>
              <w14:schemeClr w14:val="tx1"/>
            </w14:solidFill>
          </w14:textFill>
        </w:rPr>
      </w:pPr>
      <w:r>
        <w:fldChar w:fldCharType="begin"/>
      </w:r>
      <w:r>
        <w:instrText xml:space="preserve"> HYPERLINK \l "_Toc5798" </w:instrText>
      </w:r>
      <w:r>
        <w:fldChar w:fldCharType="separate"/>
      </w:r>
      <w:r>
        <w:rPr>
          <w:rFonts w:hint="eastAsia" w:ascii="方正小标宋_GBK" w:hAnsi="方正小标宋_GBK" w:eastAsia="方正小标宋_GBK" w:cs="方正小标宋_GBK"/>
          <w:bCs/>
          <w:color w:val="000000" w:themeColor="text1"/>
          <w:szCs w:val="28"/>
          <w14:textFill>
            <w14:solidFill>
              <w14:schemeClr w14:val="tx1"/>
            </w14:solidFill>
          </w14:textFill>
        </w:rPr>
        <w:t>十三、 反洗钱条款</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_Toc5798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17</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3"/>
        <w:tabs>
          <w:tab w:val="right" w:leader="dot" w:pos="9638"/>
        </w:tabs>
        <w:rPr>
          <w:color w:val="000000" w:themeColor="text1"/>
          <w14:textFill>
            <w14:solidFill>
              <w14:schemeClr w14:val="tx1"/>
            </w14:solidFill>
          </w14:textFill>
        </w:rPr>
      </w:pPr>
      <w:r>
        <w:fldChar w:fldCharType="begin"/>
      </w:r>
      <w:r>
        <w:instrText xml:space="preserve"> HYPERLINK \l "_Toc183" </w:instrText>
      </w:r>
      <w:r>
        <w:fldChar w:fldCharType="separate"/>
      </w:r>
      <w:r>
        <w:rPr>
          <w:rFonts w:hint="eastAsia" w:ascii="方正小标宋_GBK" w:hAnsi="方正小标宋_GBK" w:eastAsia="方正小标宋_GBK" w:cs="方正小标宋_GBK"/>
          <w:bCs/>
          <w:color w:val="000000" w:themeColor="text1"/>
          <w:szCs w:val="28"/>
          <w14:textFill>
            <w14:solidFill>
              <w14:schemeClr w14:val="tx1"/>
            </w14:solidFill>
          </w14:textFill>
        </w:rPr>
        <w:t>十四、 附则</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_Toc183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18</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3"/>
        <w:tabs>
          <w:tab w:val="left" w:pos="840"/>
          <w:tab w:val="right" w:leader="dot" w:pos="8494"/>
        </w:tabs>
        <w:spacing w:line="360" w:lineRule="auto"/>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fldChar w:fldCharType="end"/>
      </w:r>
    </w:p>
    <w:p>
      <w:pPr>
        <w:spacing w:line="360" w:lineRule="auto"/>
        <w:rPr>
          <w:rFonts w:ascii="宋体" w:hAnsi="宋体" w:cs="宋体"/>
          <w:bCs/>
          <w:color w:val="000000" w:themeColor="text1"/>
          <w:szCs w:val="21"/>
          <w14:textFill>
            <w14:solidFill>
              <w14:schemeClr w14:val="tx1"/>
            </w14:solidFill>
          </w14:textFill>
        </w:rPr>
      </w:pPr>
    </w:p>
    <w:p>
      <w:pPr>
        <w:pStyle w:val="2"/>
        <w:rPr>
          <w:rFonts w:ascii="宋体" w:hAnsi="宋体" w:cs="宋体"/>
          <w:color w:val="000000" w:themeColor="text1"/>
          <w:sz w:val="21"/>
          <w:szCs w:val="21"/>
          <w14:textFill>
            <w14:solidFill>
              <w14:schemeClr w14:val="tx1"/>
            </w14:solidFill>
          </w14:textFill>
        </w:rPr>
      </w:pPr>
    </w:p>
    <w:p>
      <w:pPr>
        <w:rPr>
          <w:rFonts w:ascii="宋体" w:hAnsi="宋体" w:cs="宋体"/>
          <w:bCs/>
          <w:color w:val="000000" w:themeColor="text1"/>
          <w:szCs w:val="21"/>
          <w14:textFill>
            <w14:solidFill>
              <w14:schemeClr w14:val="tx1"/>
            </w14:solidFill>
          </w14:textFill>
        </w:rPr>
      </w:pPr>
    </w:p>
    <w:p>
      <w:pPr>
        <w:pStyle w:val="3"/>
        <w:spacing w:before="0" w:after="0" w:line="360" w:lineRule="auto"/>
        <w:rPr>
          <w:rFonts w:ascii="方正仿宋_GBK" w:hAnsi="方正仿宋_GBK" w:eastAsia="方正仿宋_GBK" w:cs="方正仿宋_GBK"/>
          <w:b w:val="0"/>
          <w:bCs w:val="0"/>
          <w:color w:val="000000" w:themeColor="text1"/>
          <w:kern w:val="2"/>
          <w:sz w:val="24"/>
          <w:szCs w:val="24"/>
          <w14:textFill>
            <w14:solidFill>
              <w14:schemeClr w14:val="tx1"/>
            </w14:solidFill>
          </w14:textFill>
        </w:rPr>
      </w:pPr>
    </w:p>
    <w:p>
      <w:pPr>
        <w:pStyle w:val="3"/>
        <w:spacing w:before="0" w:after="0" w:line="360" w:lineRule="auto"/>
        <w:rPr>
          <w:rFonts w:ascii="方正仿宋_GBK" w:hAnsi="方正仿宋_GBK" w:eastAsia="方正仿宋_GBK" w:cs="方正仿宋_GBK"/>
          <w:b w:val="0"/>
          <w:bCs w:val="0"/>
          <w:color w:val="000000" w:themeColor="text1"/>
          <w:kern w:val="2"/>
          <w:sz w:val="24"/>
          <w:szCs w:val="24"/>
          <w14:textFill>
            <w14:solidFill>
              <w14:schemeClr w14:val="tx1"/>
            </w14:solidFill>
          </w14:textFill>
        </w:rPr>
      </w:pPr>
    </w:p>
    <w:p>
      <w:pPr>
        <w:pStyle w:val="3"/>
        <w:spacing w:before="0" w:after="0" w:line="360" w:lineRule="auto"/>
        <w:rPr>
          <w:rFonts w:ascii="方正仿宋_GBK" w:hAnsi="方正仿宋_GBK" w:eastAsia="方正仿宋_GBK" w:cs="方正仿宋_GBK"/>
          <w:color w:val="000000" w:themeColor="text1"/>
          <w:kern w:val="2"/>
          <w:sz w:val="24"/>
          <w:szCs w:val="24"/>
          <w14:textFill>
            <w14:solidFill>
              <w14:schemeClr w14:val="tx1"/>
            </w14:solidFill>
          </w14:textFill>
        </w:rPr>
      </w:pPr>
      <w:r>
        <w:rPr>
          <w:rFonts w:hint="eastAsia" w:ascii="方正仿宋_GBK" w:hAnsi="方正仿宋_GBK" w:eastAsia="方正仿宋_GBK" w:cs="方正仿宋_GBK"/>
          <w:color w:val="000000" w:themeColor="text1"/>
          <w:kern w:val="2"/>
          <w:sz w:val="24"/>
          <w:szCs w:val="24"/>
          <w14:textFill>
            <w14:solidFill>
              <w14:schemeClr w14:val="tx1"/>
            </w14:solidFill>
          </w14:textFill>
        </w:rPr>
        <w:t>投保人：xxx有限公司（简称为“甲方”）</w:t>
      </w:r>
    </w:p>
    <w:p>
      <w:pPr>
        <w:spacing w:line="360" w:lineRule="auto"/>
        <w:rPr>
          <w:rFonts w:ascii="方正仿宋_GBK" w:hAnsi="方正仿宋_GBK" w:eastAsia="方正仿宋_GBK" w:cs="方正仿宋_GBK"/>
          <w:b/>
          <w:bCs/>
          <w:color w:val="000000" w:themeColor="text1"/>
          <w:sz w:val="24"/>
          <w:szCs w:val="24"/>
          <w14:textFill>
            <w14:solidFill>
              <w14:schemeClr w14:val="tx1"/>
            </w14:solidFill>
          </w14:textFill>
        </w:rPr>
      </w:pPr>
      <w:r>
        <w:rPr>
          <w:rFonts w:hint="eastAsia" w:ascii="方正仿宋_GBK" w:hAnsi="方正仿宋_GBK" w:eastAsia="方正仿宋_GBK" w:cs="方正仿宋_GBK"/>
          <w:b/>
          <w:bCs/>
          <w:color w:val="000000" w:themeColor="text1"/>
          <w:sz w:val="24"/>
          <w:szCs w:val="24"/>
          <w14:textFill>
            <w14:solidFill>
              <w14:schemeClr w14:val="tx1"/>
            </w14:solidFill>
          </w14:textFill>
        </w:rPr>
        <w:t xml:space="preserve">授权代表人：                  </w:t>
      </w:r>
    </w:p>
    <w:p>
      <w:pPr>
        <w:spacing w:line="360" w:lineRule="auto"/>
        <w:rPr>
          <w:rFonts w:ascii="方正仿宋_GBK" w:hAnsi="方正仿宋_GBK" w:eastAsia="方正仿宋_GBK" w:cs="方正仿宋_GBK"/>
          <w:b/>
          <w:bCs/>
          <w:color w:val="000000" w:themeColor="text1"/>
          <w:sz w:val="24"/>
          <w:szCs w:val="24"/>
          <w14:textFill>
            <w14:solidFill>
              <w14:schemeClr w14:val="tx1"/>
            </w14:solidFill>
          </w14:textFill>
        </w:rPr>
      </w:pPr>
      <w:r>
        <w:rPr>
          <w:rFonts w:hint="eastAsia" w:ascii="方正仿宋_GBK" w:hAnsi="方正仿宋_GBK" w:eastAsia="方正仿宋_GBK" w:cs="方正仿宋_GBK"/>
          <w:b/>
          <w:bCs/>
          <w:color w:val="000000" w:themeColor="text1"/>
          <w:sz w:val="24"/>
          <w:szCs w:val="24"/>
          <w14:textFill>
            <w14:solidFill>
              <w14:schemeClr w14:val="tx1"/>
            </w14:solidFill>
          </w14:textFill>
        </w:rPr>
        <w:t xml:space="preserve">地址: </w:t>
      </w:r>
    </w:p>
    <w:p>
      <w:pPr>
        <w:spacing w:line="360" w:lineRule="auto"/>
        <w:rPr>
          <w:rFonts w:ascii="方正仿宋_GBK" w:hAnsi="方正仿宋_GBK" w:eastAsia="方正仿宋_GBK" w:cs="方正仿宋_GBK"/>
          <w:b/>
          <w:bCs/>
          <w:color w:val="000000" w:themeColor="text1"/>
          <w:sz w:val="24"/>
          <w:szCs w:val="24"/>
          <w14:textFill>
            <w14:solidFill>
              <w14:schemeClr w14:val="tx1"/>
            </w14:solidFill>
          </w14:textFill>
        </w:rPr>
      </w:pPr>
    </w:p>
    <w:p>
      <w:pPr>
        <w:spacing w:line="360" w:lineRule="auto"/>
        <w:rPr>
          <w:rFonts w:ascii="方正仿宋_GBK" w:hAnsi="方正仿宋_GBK" w:eastAsia="方正仿宋_GBK" w:cs="方正仿宋_GBK"/>
          <w:b/>
          <w:bCs/>
          <w:color w:val="000000" w:themeColor="text1"/>
          <w:sz w:val="24"/>
          <w:szCs w:val="24"/>
          <w14:textFill>
            <w14:solidFill>
              <w14:schemeClr w14:val="tx1"/>
            </w14:solidFill>
          </w14:textFill>
        </w:rPr>
      </w:pPr>
      <w:r>
        <w:rPr>
          <w:rFonts w:hint="eastAsia" w:ascii="方正仿宋_GBK" w:hAnsi="方正仿宋_GBK" w:eastAsia="方正仿宋_GBK" w:cs="方正仿宋_GBK"/>
          <w:b/>
          <w:bCs/>
          <w:color w:val="000000" w:themeColor="text1"/>
          <w:sz w:val="24"/>
          <w:szCs w:val="24"/>
          <w14:textFill>
            <w14:solidFill>
              <w14:schemeClr w14:val="tx1"/>
            </w14:solidFill>
          </w14:textFill>
        </w:rPr>
        <w:t>保险人：</w:t>
      </w:r>
      <w:r>
        <w:rPr>
          <w:rFonts w:hint="eastAsia" w:ascii="方正仿宋_GBK" w:hAnsi="方正仿宋_GBK" w:cs="方正仿宋_GBK"/>
          <w:b/>
          <w:bCs/>
          <w:color w:val="000000" w:themeColor="text1"/>
          <w:sz w:val="24"/>
          <w:szCs w:val="24"/>
          <w14:textFill>
            <w14:solidFill>
              <w14:schemeClr w14:val="tx1"/>
            </w14:solidFill>
          </w14:textFill>
        </w:rPr>
        <w:t>xxxxx</w:t>
      </w:r>
      <w:r>
        <w:rPr>
          <w:rFonts w:hint="eastAsia" w:ascii="方正仿宋_GBK" w:hAnsi="方正仿宋_GBK" w:eastAsia="方正仿宋_GBK" w:cs="方正仿宋_GBK"/>
          <w:b/>
          <w:bCs/>
          <w:color w:val="000000" w:themeColor="text1"/>
          <w:sz w:val="24"/>
          <w:szCs w:val="24"/>
          <w14:textFill>
            <w14:solidFill>
              <w14:schemeClr w14:val="tx1"/>
            </w14:solidFill>
          </w14:textFill>
        </w:rPr>
        <w:t>公司（简称为“乙方”）</w:t>
      </w:r>
    </w:p>
    <w:p>
      <w:pPr>
        <w:spacing w:line="360" w:lineRule="auto"/>
        <w:rPr>
          <w:rFonts w:ascii="方正仿宋_GBK" w:hAnsi="方正仿宋_GBK" w:eastAsia="方正仿宋_GBK" w:cs="方正仿宋_GBK"/>
          <w:b/>
          <w:bCs/>
          <w:color w:val="000000" w:themeColor="text1"/>
          <w:sz w:val="24"/>
          <w:szCs w:val="24"/>
          <w14:textFill>
            <w14:solidFill>
              <w14:schemeClr w14:val="tx1"/>
            </w14:solidFill>
          </w14:textFill>
        </w:rPr>
      </w:pPr>
      <w:r>
        <w:rPr>
          <w:rFonts w:hint="eastAsia" w:ascii="方正仿宋_GBK" w:hAnsi="方正仿宋_GBK" w:eastAsia="方正仿宋_GBK" w:cs="方正仿宋_GBK"/>
          <w:b/>
          <w:bCs/>
          <w:color w:val="000000" w:themeColor="text1"/>
          <w:sz w:val="24"/>
          <w:szCs w:val="24"/>
          <w14:textFill>
            <w14:solidFill>
              <w14:schemeClr w14:val="tx1"/>
            </w14:solidFill>
          </w14:textFill>
        </w:rPr>
        <w:t>授权代表人：</w:t>
      </w:r>
    </w:p>
    <w:p>
      <w:pPr>
        <w:spacing w:line="360" w:lineRule="auto"/>
        <w:rPr>
          <w:rFonts w:ascii="方正仿宋_GBK" w:hAnsi="方正仿宋_GBK" w:eastAsia="方正仿宋_GBK" w:cs="方正仿宋_GBK"/>
          <w:b/>
          <w:bCs/>
          <w:color w:val="000000" w:themeColor="text1"/>
          <w:sz w:val="24"/>
          <w:szCs w:val="24"/>
          <w14:textFill>
            <w14:solidFill>
              <w14:schemeClr w14:val="tx1"/>
            </w14:solidFill>
          </w14:textFill>
        </w:rPr>
      </w:pPr>
      <w:r>
        <w:rPr>
          <w:rFonts w:hint="eastAsia" w:ascii="方正仿宋_GBK" w:hAnsi="方正仿宋_GBK" w:eastAsia="方正仿宋_GBK" w:cs="方正仿宋_GBK"/>
          <w:b/>
          <w:bCs/>
          <w:color w:val="000000" w:themeColor="text1"/>
          <w:sz w:val="24"/>
          <w:szCs w:val="24"/>
          <w14:textFill>
            <w14:solidFill>
              <w14:schemeClr w14:val="tx1"/>
            </w14:solidFill>
          </w14:textFill>
        </w:rPr>
        <w:t xml:space="preserve">地址: </w:t>
      </w:r>
    </w:p>
    <w:p>
      <w:pPr>
        <w:spacing w:line="360" w:lineRule="auto"/>
        <w:ind w:firstLine="855"/>
        <w:rPr>
          <w:rFonts w:ascii="宋体" w:hAnsi="宋体" w:cs="宋体"/>
          <w:b/>
          <w:bCs/>
          <w:color w:val="000000" w:themeColor="text1"/>
          <w:szCs w:val="21"/>
          <w14:textFill>
            <w14:solidFill>
              <w14:schemeClr w14:val="tx1"/>
            </w14:solidFill>
          </w14:textFill>
        </w:rPr>
      </w:pPr>
    </w:p>
    <w:p>
      <w:pPr>
        <w:spacing w:line="480" w:lineRule="exact"/>
        <w:ind w:firstLine="573"/>
        <w:rPr>
          <w:rFonts w:ascii="方正仿宋_GBK" w:hAnsi="方正仿宋_GBK" w:eastAsia="方正仿宋_GBK" w:cs="方正仿宋_GBK"/>
          <w:color w:val="000000" w:themeColor="text1"/>
          <w:sz w:val="24"/>
          <w:szCs w:val="24"/>
          <w14:textFill>
            <w14:solidFill>
              <w14:schemeClr w14:val="tx1"/>
            </w14:solidFill>
          </w14:textFill>
        </w:rPr>
      </w:pPr>
      <w:bookmarkStart w:id="23" w:name="_Toc141873841"/>
      <w:r>
        <w:rPr>
          <w:rFonts w:hint="eastAsia" w:ascii="方正仿宋_GBK" w:hAnsi="方正仿宋_GBK" w:eastAsia="方正仿宋_GBK" w:cs="方正仿宋_GBK"/>
          <w:color w:val="000000" w:themeColor="text1"/>
          <w:sz w:val="24"/>
          <w:szCs w:val="24"/>
          <w14:textFill>
            <w14:solidFill>
              <w14:schemeClr w14:val="tx1"/>
            </w14:solidFill>
          </w14:textFill>
        </w:rPr>
        <w:t>根据《中华人民共和国民法典》和《中华人民共和国保险法》有关规定，乙方具备向甲方提供本协议项下保险服务的资质和条件。甲乙双方在平等互利的基础上，经友好协商，就甲方向乙方投保员工综合福利保障计划事宜，达成如下协议（以下简称“本协议” ）：</w:t>
      </w:r>
    </w:p>
    <w:p>
      <w:pPr>
        <w:pStyle w:val="3"/>
        <w:numPr>
          <w:ilvl w:val="0"/>
          <w:numId w:val="3"/>
        </w:numPr>
        <w:spacing w:line="360" w:lineRule="auto"/>
        <w:jc w:val="center"/>
        <w:rPr>
          <w:rFonts w:ascii="方正小标宋_GBK" w:hAnsi="方正小标宋_GBK" w:eastAsia="方正小标宋_GBK" w:cs="方正小标宋_GBK"/>
          <w:color w:val="000000" w:themeColor="text1"/>
          <w:sz w:val="28"/>
          <w:szCs w:val="28"/>
          <w14:textFill>
            <w14:solidFill>
              <w14:schemeClr w14:val="tx1"/>
            </w14:solidFill>
          </w14:textFill>
        </w:rPr>
      </w:pPr>
      <w:bookmarkStart w:id="24" w:name="_Toc30704"/>
      <w:r>
        <w:rPr>
          <w:rFonts w:hint="eastAsia" w:ascii="方正小标宋_GBK" w:hAnsi="方正小标宋_GBK" w:eastAsia="方正小标宋_GBK" w:cs="方正小标宋_GBK"/>
          <w:color w:val="000000" w:themeColor="text1"/>
          <w:sz w:val="28"/>
          <w:szCs w:val="28"/>
          <w14:textFill>
            <w14:solidFill>
              <w14:schemeClr w14:val="tx1"/>
            </w14:solidFill>
          </w14:textFill>
        </w:rPr>
        <w:t>投保基本情况</w:t>
      </w:r>
      <w:bookmarkEnd w:id="24"/>
    </w:p>
    <w:p>
      <w:pPr>
        <w:spacing w:line="480" w:lineRule="exact"/>
        <w:ind w:firstLine="573"/>
        <w:rPr>
          <w:rFonts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为了更好地提高员工的福利保障待遇，加强企业人力资源的竞争力，甲方愿为现有的员工投保乙方的综合福利保障计划。</w:t>
      </w:r>
    </w:p>
    <w:p>
      <w:pPr>
        <w:pStyle w:val="3"/>
        <w:numPr>
          <w:ilvl w:val="0"/>
          <w:numId w:val="3"/>
        </w:numPr>
        <w:spacing w:line="360" w:lineRule="auto"/>
        <w:jc w:val="center"/>
        <w:rPr>
          <w:rFonts w:ascii="方正小标宋_GBK" w:hAnsi="方正小标宋_GBK" w:eastAsia="方正小标宋_GBK" w:cs="方正小标宋_GBK"/>
          <w:color w:val="000000" w:themeColor="text1"/>
          <w:sz w:val="28"/>
          <w:szCs w:val="28"/>
          <w14:textFill>
            <w14:solidFill>
              <w14:schemeClr w14:val="tx1"/>
            </w14:solidFill>
          </w14:textFill>
        </w:rPr>
      </w:pPr>
      <w:bookmarkStart w:id="25" w:name="_Toc16265"/>
      <w:r>
        <w:rPr>
          <w:rFonts w:hint="eastAsia" w:ascii="方正小标宋_GBK" w:hAnsi="方正小标宋_GBK" w:eastAsia="方正小标宋_GBK" w:cs="方正小标宋_GBK"/>
          <w:color w:val="000000" w:themeColor="text1"/>
          <w:sz w:val="28"/>
          <w:szCs w:val="28"/>
          <w14:textFill>
            <w14:solidFill>
              <w14:schemeClr w14:val="tx1"/>
            </w14:solidFill>
          </w14:textFill>
        </w:rPr>
        <w:t>保险期限</w:t>
      </w:r>
      <w:bookmarkEnd w:id="25"/>
    </w:p>
    <w:p>
      <w:pPr>
        <w:spacing w:line="480" w:lineRule="exact"/>
        <w:ind w:firstLine="573"/>
        <w:rPr>
          <w:rFonts w:ascii="Times New Roman" w:hAnsi="Times New Roman" w:eastAsia="方正仿宋_GBK" w:cs="Times New Roman"/>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本协议约定有效期</w:t>
      </w:r>
      <w:r>
        <w:rPr>
          <w:rFonts w:hint="default" w:ascii="Times New Roman" w:hAnsi="Times New Roman" w:eastAsia="方正仿宋_GBK" w:cs="Times New Roman"/>
          <w:color w:val="000000" w:themeColor="text1"/>
          <w:sz w:val="24"/>
          <w:szCs w:val="24"/>
          <w14:textFill>
            <w14:solidFill>
              <w14:schemeClr w14:val="tx1"/>
            </w14:solidFill>
          </w14:textFill>
        </w:rPr>
        <w:t>限为一年，自</w:t>
      </w:r>
      <w:r>
        <w:rPr>
          <w:rFonts w:hint="default" w:ascii="Times New Roman" w:hAnsi="Times New Roman" w:cs="Times New Roman"/>
          <w:color w:val="000000" w:themeColor="text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lang w:val="en-US" w:eastAsia="zh-CN"/>
          <w14:textFill>
            <w14:solidFill>
              <w14:schemeClr w14:val="tx1"/>
            </w14:solidFill>
          </w14:textFill>
        </w:rPr>
        <w:t>2024</w:t>
      </w:r>
      <w:r>
        <w:rPr>
          <w:rFonts w:hint="default" w:ascii="Times New Roman" w:hAnsi="Times New Roman" w:cs="Times New Roman"/>
          <w:color w:val="000000" w:themeColor="text1"/>
          <w:sz w:val="24"/>
          <w:szCs w:val="24"/>
          <w14:textFill>
            <w14:solidFill>
              <w14:schemeClr w14:val="tx1"/>
            </w14:solidFill>
          </w14:textFill>
        </w:rPr>
        <w:t xml:space="preserve"> </w:t>
      </w:r>
      <w:r>
        <w:rPr>
          <w:rFonts w:hint="default" w:ascii="Times New Roman" w:hAnsi="Times New Roman" w:eastAsia="方正仿宋_GBK" w:cs="Times New Roman"/>
          <w:color w:val="000000" w:themeColor="text1"/>
          <w:sz w:val="24"/>
          <w:szCs w:val="24"/>
          <w14:textFill>
            <w14:solidFill>
              <w14:schemeClr w14:val="tx1"/>
            </w14:solidFill>
          </w14:textFill>
        </w:rPr>
        <w:t>年</w:t>
      </w:r>
      <w:r>
        <w:rPr>
          <w:rFonts w:hint="default" w:ascii="Times New Roman" w:hAnsi="Times New Roman" w:cs="Times New Roman"/>
          <w:color w:val="000000" w:themeColor="text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lang w:val="en-US" w:eastAsia="zh-CN"/>
          <w14:textFill>
            <w14:solidFill>
              <w14:schemeClr w14:val="tx1"/>
            </w14:solidFill>
          </w14:textFill>
        </w:rPr>
        <w:t>1</w:t>
      </w:r>
      <w:r>
        <w:rPr>
          <w:rFonts w:hint="default" w:ascii="Times New Roman" w:hAnsi="Times New Roman" w:cs="Times New Roman"/>
          <w:color w:val="000000" w:themeColor="text1"/>
          <w:sz w:val="24"/>
          <w:szCs w:val="24"/>
          <w14:textFill>
            <w14:solidFill>
              <w14:schemeClr w14:val="tx1"/>
            </w14:solidFill>
          </w14:textFill>
        </w:rPr>
        <w:t xml:space="preserve">  </w:t>
      </w:r>
      <w:r>
        <w:rPr>
          <w:rFonts w:hint="default" w:ascii="Times New Roman" w:hAnsi="Times New Roman" w:eastAsia="方正仿宋_GBK" w:cs="Times New Roman"/>
          <w:color w:val="000000" w:themeColor="text1"/>
          <w:sz w:val="24"/>
          <w:szCs w:val="24"/>
          <w14:textFill>
            <w14:solidFill>
              <w14:schemeClr w14:val="tx1"/>
            </w14:solidFill>
          </w14:textFill>
        </w:rPr>
        <w:t>月</w:t>
      </w:r>
      <w:r>
        <w:rPr>
          <w:rFonts w:hint="default" w:ascii="Times New Roman" w:hAnsi="Times New Roman" w:cs="Times New Roman"/>
          <w:color w:val="000000" w:themeColor="text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lang w:val="en-US" w:eastAsia="zh-CN"/>
          <w14:textFill>
            <w14:solidFill>
              <w14:schemeClr w14:val="tx1"/>
            </w14:solidFill>
          </w14:textFill>
        </w:rPr>
        <w:t>1</w:t>
      </w:r>
      <w:r>
        <w:rPr>
          <w:rFonts w:hint="default" w:ascii="Times New Roman" w:hAnsi="Times New Roman" w:cs="Times New Roman"/>
          <w:color w:val="000000" w:themeColor="text1"/>
          <w:sz w:val="24"/>
          <w:szCs w:val="24"/>
          <w14:textFill>
            <w14:solidFill>
              <w14:schemeClr w14:val="tx1"/>
            </w14:solidFill>
          </w14:textFill>
        </w:rPr>
        <w:t xml:space="preserve"> </w:t>
      </w:r>
      <w:r>
        <w:rPr>
          <w:rFonts w:hint="default" w:ascii="Times New Roman" w:hAnsi="Times New Roman" w:eastAsia="方正仿宋_GBK" w:cs="Times New Roman"/>
          <w:color w:val="000000" w:themeColor="text1"/>
          <w:sz w:val="24"/>
          <w:szCs w:val="24"/>
          <w14:textFill>
            <w14:solidFill>
              <w14:schemeClr w14:val="tx1"/>
            </w14:solidFill>
          </w14:textFill>
        </w:rPr>
        <w:t>日零时起至</w:t>
      </w:r>
      <w:r>
        <w:rPr>
          <w:rFonts w:hint="default" w:ascii="Times New Roman" w:hAnsi="Times New Roman" w:cs="Times New Roman"/>
          <w:color w:val="000000" w:themeColor="text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lang w:val="en-US" w:eastAsia="zh-CN"/>
          <w14:textFill>
            <w14:solidFill>
              <w14:schemeClr w14:val="tx1"/>
            </w14:solidFill>
          </w14:textFill>
        </w:rPr>
        <w:t>2024</w:t>
      </w:r>
      <w:r>
        <w:rPr>
          <w:rFonts w:hint="default" w:ascii="Times New Roman" w:hAnsi="Times New Roman" w:cs="Times New Roman"/>
          <w:color w:val="000000" w:themeColor="text1"/>
          <w:sz w:val="24"/>
          <w:szCs w:val="24"/>
          <w14:textFill>
            <w14:solidFill>
              <w14:schemeClr w14:val="tx1"/>
            </w14:solidFill>
          </w14:textFill>
        </w:rPr>
        <w:t xml:space="preserve">  </w:t>
      </w:r>
      <w:r>
        <w:rPr>
          <w:rFonts w:hint="default" w:ascii="Times New Roman" w:hAnsi="Times New Roman" w:eastAsia="方正仿宋_GBK" w:cs="Times New Roman"/>
          <w:color w:val="000000" w:themeColor="text1"/>
          <w:sz w:val="24"/>
          <w:szCs w:val="24"/>
          <w14:textFill>
            <w14:solidFill>
              <w14:schemeClr w14:val="tx1"/>
            </w14:solidFill>
          </w14:textFill>
        </w:rPr>
        <w:t>年</w:t>
      </w:r>
      <w:r>
        <w:rPr>
          <w:rFonts w:hint="default" w:ascii="Times New Roman" w:hAnsi="Times New Roman" w:cs="Times New Roman"/>
          <w:color w:val="000000" w:themeColor="text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lang w:val="en-US" w:eastAsia="zh-CN"/>
          <w14:textFill>
            <w14:solidFill>
              <w14:schemeClr w14:val="tx1"/>
            </w14:solidFill>
          </w14:textFill>
        </w:rPr>
        <w:t>12</w:t>
      </w:r>
      <w:r>
        <w:rPr>
          <w:rFonts w:hint="default" w:ascii="Times New Roman" w:hAnsi="Times New Roman" w:cs="Times New Roman"/>
          <w:color w:val="000000" w:themeColor="text1"/>
          <w:sz w:val="24"/>
          <w:szCs w:val="24"/>
          <w14:textFill>
            <w14:solidFill>
              <w14:schemeClr w14:val="tx1"/>
            </w14:solidFill>
          </w14:textFill>
        </w:rPr>
        <w:t xml:space="preserve"> </w:t>
      </w:r>
      <w:r>
        <w:rPr>
          <w:rFonts w:hint="default" w:ascii="Times New Roman" w:hAnsi="Times New Roman" w:eastAsia="方正仿宋_GBK" w:cs="Times New Roman"/>
          <w:color w:val="000000" w:themeColor="text1"/>
          <w:sz w:val="24"/>
          <w:szCs w:val="24"/>
          <w14:textFill>
            <w14:solidFill>
              <w14:schemeClr w14:val="tx1"/>
            </w14:solidFill>
          </w14:textFill>
        </w:rPr>
        <w:t>月</w:t>
      </w:r>
      <w:r>
        <w:rPr>
          <w:rFonts w:hint="default" w:ascii="Times New Roman" w:hAnsi="Times New Roman" w:cs="Times New Roman"/>
          <w:color w:val="000000" w:themeColor="text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lang w:val="en-US" w:eastAsia="zh-CN"/>
          <w14:textFill>
            <w14:solidFill>
              <w14:schemeClr w14:val="tx1"/>
            </w14:solidFill>
          </w14:textFill>
        </w:rPr>
        <w:t>31</w:t>
      </w:r>
      <w:r>
        <w:rPr>
          <w:rFonts w:hint="default" w:ascii="Times New Roman" w:hAnsi="Times New Roman" w:cs="Times New Roman"/>
          <w:color w:val="000000" w:themeColor="text1"/>
          <w:sz w:val="24"/>
          <w:szCs w:val="24"/>
          <w14:textFill>
            <w14:solidFill>
              <w14:schemeClr w14:val="tx1"/>
            </w14:solidFill>
          </w14:textFill>
        </w:rPr>
        <w:t xml:space="preserve"> </w:t>
      </w:r>
      <w:r>
        <w:rPr>
          <w:rFonts w:hint="default" w:ascii="Times New Roman" w:hAnsi="Times New Roman" w:eastAsia="方正仿宋_GBK" w:cs="Times New Roman"/>
          <w:color w:val="000000" w:themeColor="text1"/>
          <w:sz w:val="24"/>
          <w:szCs w:val="24"/>
          <w14:textFill>
            <w14:solidFill>
              <w14:schemeClr w14:val="tx1"/>
            </w14:solidFill>
          </w14:textFill>
        </w:rPr>
        <w:t>日二十四时止</w:t>
      </w:r>
      <w:r>
        <w:rPr>
          <w:rFonts w:hint="default" w:ascii="Times New Roman" w:hAnsi="Times New Roman" w:cs="Times New Roman"/>
          <w:color w:val="000000" w:themeColor="text1"/>
          <w:sz w:val="24"/>
          <w:szCs w:val="24"/>
          <w14:textFill>
            <w14:solidFill>
              <w14:schemeClr w14:val="tx1"/>
            </w14:solidFill>
          </w14:textFill>
        </w:rPr>
        <w:t>（</w:t>
      </w:r>
      <w:r>
        <w:rPr>
          <w:rFonts w:hint="default" w:ascii="Times New Roman" w:hAnsi="Times New Roman" w:eastAsia="方正仿宋_GBK" w:cs="Times New Roman"/>
          <w:color w:val="000000" w:themeColor="text1"/>
          <w:sz w:val="24"/>
          <w:szCs w:val="24"/>
          <w14:textFill>
            <w14:solidFill>
              <w14:schemeClr w14:val="tx1"/>
            </w14:solidFill>
          </w14:textFill>
        </w:rPr>
        <w:t>保险生效日以签发保单上载明的生效日期为准，保险人自保险单上所记载的保险期间起始日开始承担相应保险责任</w:t>
      </w:r>
      <w:r>
        <w:rPr>
          <w:rFonts w:hint="default" w:ascii="Times New Roman" w:hAnsi="Times New Roman" w:cs="Times New Roman"/>
          <w:color w:val="000000" w:themeColor="text1"/>
          <w:sz w:val="24"/>
          <w:szCs w:val="24"/>
          <w14:textFill>
            <w14:solidFill>
              <w14:schemeClr w14:val="tx1"/>
            </w14:solidFill>
          </w14:textFill>
        </w:rPr>
        <w:t>）</w:t>
      </w:r>
      <w:r>
        <w:rPr>
          <w:rFonts w:hint="default" w:ascii="Times New Roman" w:hAnsi="Times New Roman" w:eastAsia="方正仿宋_GBK" w:cs="Times New Roman"/>
          <w:color w:val="000000" w:themeColor="text1"/>
          <w:sz w:val="24"/>
          <w:szCs w:val="24"/>
          <w14:textFill>
            <w14:solidFill>
              <w14:schemeClr w14:val="tx1"/>
            </w14:solidFill>
          </w14:textFill>
        </w:rPr>
        <w:t>。</w:t>
      </w:r>
    </w:p>
    <w:p>
      <w:pPr>
        <w:pStyle w:val="3"/>
        <w:numPr>
          <w:ilvl w:val="0"/>
          <w:numId w:val="3"/>
        </w:numPr>
        <w:spacing w:line="360" w:lineRule="auto"/>
        <w:jc w:val="center"/>
        <w:rPr>
          <w:rFonts w:ascii="方正小标宋_GBK" w:hAnsi="方正小标宋_GBK" w:eastAsia="方正小标宋_GBK" w:cs="方正小标宋_GBK"/>
          <w:color w:val="000000" w:themeColor="text1"/>
          <w:sz w:val="28"/>
          <w:szCs w:val="28"/>
          <w14:textFill>
            <w14:solidFill>
              <w14:schemeClr w14:val="tx1"/>
            </w14:solidFill>
          </w14:textFill>
        </w:rPr>
      </w:pPr>
      <w:bookmarkStart w:id="26" w:name="_Toc415063770"/>
      <w:bookmarkEnd w:id="26"/>
      <w:bookmarkStart w:id="27" w:name="_Toc415063585"/>
      <w:bookmarkEnd w:id="27"/>
      <w:bookmarkStart w:id="28" w:name="_Toc415063955"/>
      <w:bookmarkEnd w:id="28"/>
      <w:bookmarkStart w:id="29" w:name="_Toc415063769"/>
      <w:bookmarkEnd w:id="29"/>
      <w:bookmarkStart w:id="30" w:name="_Toc415064140"/>
      <w:bookmarkEnd w:id="30"/>
      <w:bookmarkStart w:id="31" w:name="_Toc415064138"/>
      <w:bookmarkEnd w:id="31"/>
      <w:bookmarkStart w:id="32" w:name="_Toc415063768"/>
      <w:bookmarkEnd w:id="32"/>
      <w:bookmarkStart w:id="33" w:name="_Toc415064139"/>
      <w:bookmarkEnd w:id="33"/>
      <w:bookmarkStart w:id="34" w:name="_Toc415063583"/>
      <w:bookmarkEnd w:id="34"/>
      <w:bookmarkStart w:id="35" w:name="_Toc415063954"/>
      <w:bookmarkEnd w:id="35"/>
      <w:bookmarkStart w:id="36" w:name="_Toc415063953"/>
      <w:bookmarkEnd w:id="36"/>
      <w:bookmarkStart w:id="37" w:name="_Toc415063584"/>
      <w:bookmarkEnd w:id="37"/>
      <w:bookmarkStart w:id="38" w:name="_Toc10247"/>
      <w:bookmarkStart w:id="39" w:name="_Toc141873838"/>
      <w:r>
        <w:rPr>
          <w:rFonts w:hint="eastAsia" w:ascii="方正小标宋_GBK" w:hAnsi="方正小标宋_GBK" w:eastAsia="方正小标宋_GBK" w:cs="方正小标宋_GBK"/>
          <w:color w:val="000000" w:themeColor="text1"/>
          <w:sz w:val="28"/>
          <w:szCs w:val="28"/>
          <w14:textFill>
            <w14:solidFill>
              <w14:schemeClr w14:val="tx1"/>
            </w14:solidFill>
          </w14:textFill>
        </w:rPr>
        <w:t>被保险人</w:t>
      </w:r>
      <w:bookmarkEnd w:id="38"/>
      <w:bookmarkEnd w:id="39"/>
    </w:p>
    <w:p>
      <w:pPr>
        <w:spacing w:line="480" w:lineRule="exact"/>
        <w:ind w:firstLine="573"/>
        <w:rPr>
          <w:rFonts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3.1被保险人为甲方现有身体健康、能正常学习、工作或劳动的在岗员工（含2023年起新增的“在册不在编”人员），合计：</w:t>
      </w:r>
      <w:r>
        <w:rPr>
          <w:rFonts w:hint="eastAsia" w:ascii="方正仿宋_GBK" w:hAnsi="方正仿宋_GBK" w:cs="方正仿宋_GBK"/>
          <w:color w:val="000000" w:themeColor="text1"/>
          <w:sz w:val="24"/>
          <w:szCs w:val="24"/>
          <w14:textFill>
            <w14:solidFill>
              <w14:schemeClr w14:val="tx1"/>
            </w14:solidFill>
          </w14:textFill>
        </w:rPr>
        <w:t>xx</w:t>
      </w:r>
      <w:r>
        <w:rPr>
          <w:rFonts w:hint="eastAsia" w:ascii="方正仿宋_GBK" w:hAnsi="方正仿宋_GBK" w:eastAsia="方正仿宋_GBK" w:cs="方正仿宋_GBK"/>
          <w:color w:val="000000" w:themeColor="text1"/>
          <w:sz w:val="24"/>
          <w:szCs w:val="24"/>
          <w14:textFill>
            <w14:solidFill>
              <w14:schemeClr w14:val="tx1"/>
            </w14:solidFill>
          </w14:textFill>
        </w:rPr>
        <w:t>人。</w:t>
      </w:r>
    </w:p>
    <w:p>
      <w:pPr>
        <w:pStyle w:val="3"/>
        <w:numPr>
          <w:ilvl w:val="0"/>
          <w:numId w:val="3"/>
        </w:numPr>
        <w:spacing w:line="360" w:lineRule="auto"/>
        <w:jc w:val="center"/>
        <w:rPr>
          <w:rFonts w:ascii="方正小标宋_GBK" w:hAnsi="方正小标宋_GBK" w:eastAsia="方正小标宋_GBK" w:cs="方正小标宋_GBK"/>
          <w:color w:val="000000" w:themeColor="text1"/>
          <w:sz w:val="28"/>
          <w:szCs w:val="28"/>
          <w14:textFill>
            <w14:solidFill>
              <w14:schemeClr w14:val="tx1"/>
            </w14:solidFill>
          </w14:textFill>
        </w:rPr>
      </w:pPr>
      <w:bookmarkStart w:id="40" w:name="_Toc9313"/>
      <w:bookmarkStart w:id="41" w:name="_Toc141873839"/>
      <w:r>
        <w:rPr>
          <w:rFonts w:hint="eastAsia" w:ascii="方正小标宋_GBK" w:hAnsi="方正小标宋_GBK" w:eastAsia="方正小标宋_GBK" w:cs="方正小标宋_GBK"/>
          <w:color w:val="000000" w:themeColor="text1"/>
          <w:sz w:val="28"/>
          <w:szCs w:val="28"/>
          <w14:textFill>
            <w14:solidFill>
              <w14:schemeClr w14:val="tx1"/>
            </w14:solidFill>
          </w14:textFill>
        </w:rPr>
        <w:t>保险方案</w:t>
      </w:r>
      <w:bookmarkEnd w:id="40"/>
    </w:p>
    <w:bookmarkEnd w:id="41"/>
    <w:tbl>
      <w:tblPr>
        <w:tblStyle w:val="21"/>
        <w:tblW w:w="9574" w:type="dxa"/>
        <w:tblInd w:w="-2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9"/>
        <w:gridCol w:w="1293"/>
        <w:gridCol w:w="6319"/>
        <w:gridCol w:w="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9" w:type="dxa"/>
          </w:tcPr>
          <w:p>
            <w:pPr>
              <w:jc w:val="center"/>
              <w:rPr>
                <w:rFonts w:hint="eastAsia" w:ascii="方正仿宋_GBK" w:hAnsi="方正仿宋_GBK" w:eastAsia="方正仿宋_GBK" w:cs="方正仿宋_GBK"/>
                <w:b w:val="0"/>
                <w:bCs w:val="0"/>
                <w:sz w:val="24"/>
                <w:szCs w:val="24"/>
                <w:vertAlign w:val="baseline"/>
                <w:lang w:val="en-US" w:eastAsia="zh-CN"/>
              </w:rPr>
            </w:pPr>
            <w:r>
              <w:rPr>
                <w:rFonts w:hint="eastAsia" w:ascii="方正仿宋_GBK" w:hAnsi="方正仿宋_GBK" w:eastAsia="方正仿宋_GBK" w:cs="方正仿宋_GBK"/>
                <w:b w:val="0"/>
                <w:bCs w:val="0"/>
                <w:sz w:val="24"/>
                <w:szCs w:val="24"/>
                <w:vertAlign w:val="baseline"/>
                <w:lang w:val="en-US" w:eastAsia="zh-CN"/>
              </w:rPr>
              <w:t>序号</w:t>
            </w:r>
          </w:p>
        </w:tc>
        <w:tc>
          <w:tcPr>
            <w:tcW w:w="1293" w:type="dxa"/>
          </w:tcPr>
          <w:p>
            <w:pPr>
              <w:jc w:val="center"/>
              <w:rPr>
                <w:rFonts w:hint="eastAsia" w:ascii="方正仿宋_GBK" w:hAnsi="方正仿宋_GBK" w:eastAsia="方正仿宋_GBK" w:cs="方正仿宋_GBK"/>
                <w:b w:val="0"/>
                <w:bCs w:val="0"/>
                <w:sz w:val="24"/>
                <w:szCs w:val="24"/>
                <w:vertAlign w:val="baseline"/>
                <w:lang w:val="en-US" w:eastAsia="zh-CN"/>
              </w:rPr>
            </w:pPr>
            <w:r>
              <w:rPr>
                <w:rFonts w:hint="eastAsia" w:ascii="方正仿宋_GBK" w:hAnsi="方正仿宋_GBK" w:eastAsia="方正仿宋_GBK" w:cs="方正仿宋_GBK"/>
                <w:b w:val="0"/>
                <w:bCs w:val="0"/>
                <w:sz w:val="24"/>
                <w:szCs w:val="24"/>
                <w:vertAlign w:val="baseline"/>
                <w:lang w:val="en-US" w:eastAsia="zh-CN"/>
              </w:rPr>
              <w:t>保险名称</w:t>
            </w:r>
          </w:p>
        </w:tc>
        <w:tc>
          <w:tcPr>
            <w:tcW w:w="6319" w:type="dxa"/>
          </w:tcPr>
          <w:p>
            <w:pPr>
              <w:jc w:val="center"/>
              <w:rPr>
                <w:rFonts w:hint="eastAsia" w:ascii="方正仿宋_GBK" w:hAnsi="方正仿宋_GBK" w:eastAsia="方正仿宋_GBK" w:cs="方正仿宋_GBK"/>
                <w:b w:val="0"/>
                <w:bCs w:val="0"/>
                <w:sz w:val="24"/>
                <w:szCs w:val="24"/>
                <w:vertAlign w:val="baseline"/>
                <w:lang w:val="en-US" w:eastAsia="zh-CN"/>
              </w:rPr>
            </w:pPr>
            <w:r>
              <w:rPr>
                <w:rFonts w:hint="eastAsia" w:ascii="方正仿宋_GBK" w:hAnsi="方正仿宋_GBK" w:eastAsia="方正仿宋_GBK" w:cs="方正仿宋_GBK"/>
                <w:b w:val="0"/>
                <w:bCs w:val="0"/>
                <w:sz w:val="24"/>
                <w:szCs w:val="24"/>
                <w:vertAlign w:val="baseline"/>
                <w:lang w:val="en-US" w:eastAsia="zh-CN"/>
              </w:rPr>
              <w:t>保险服务内容简介</w:t>
            </w:r>
          </w:p>
        </w:tc>
        <w:tc>
          <w:tcPr>
            <w:tcW w:w="973" w:type="dxa"/>
          </w:tcPr>
          <w:p>
            <w:pPr>
              <w:jc w:val="center"/>
              <w:rPr>
                <w:rFonts w:hint="eastAsia" w:ascii="方正仿宋_GBK" w:hAnsi="方正仿宋_GBK" w:eastAsia="方正仿宋_GBK" w:cs="方正仿宋_GBK"/>
                <w:b w:val="0"/>
                <w:bCs w:val="0"/>
                <w:sz w:val="24"/>
                <w:szCs w:val="24"/>
                <w:vertAlign w:val="baseline"/>
                <w:lang w:val="en-US" w:eastAsia="zh-CN"/>
              </w:rPr>
            </w:pPr>
            <w:r>
              <w:rPr>
                <w:rFonts w:hint="eastAsia" w:ascii="方正仿宋_GBK" w:hAnsi="方正仿宋_GBK" w:eastAsia="方正仿宋_GBK" w:cs="方正仿宋_GBK"/>
                <w:b w:val="0"/>
                <w:bCs w:val="0"/>
                <w:sz w:val="24"/>
                <w:szCs w:val="24"/>
                <w:vertAlign w:val="baseline"/>
                <w:lang w:val="en-US" w:eastAsia="zh-CN"/>
              </w:rPr>
              <w:t>保额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7" w:hRule="exact"/>
        </w:trPr>
        <w:tc>
          <w:tcPr>
            <w:tcW w:w="989" w:type="dxa"/>
            <w:vAlign w:val="center"/>
          </w:tcPr>
          <w:p>
            <w:pPr>
              <w:keepNext w:val="0"/>
              <w:keepLines w:val="0"/>
              <w:widowControl/>
              <w:suppressLineNumbers w:val="0"/>
              <w:jc w:val="center"/>
              <w:textAlignment w:val="center"/>
              <w:rPr>
                <w:rFonts w:hint="default" w:ascii="方正仿宋_GBK" w:hAnsi="方正仿宋_GBK" w:eastAsia="方正仿宋_GBK" w:cs="方正仿宋_GBK"/>
                <w:color w:val="000000"/>
                <w:kern w:val="0"/>
                <w:sz w:val="24"/>
                <w:lang w:val="en-US" w:eastAsia="zh-CN"/>
              </w:rPr>
            </w:pPr>
            <w:r>
              <w:rPr>
                <w:rFonts w:hint="eastAsia" w:ascii="方正仿宋_GBK" w:hAnsi="方正仿宋_GBK" w:eastAsia="方正仿宋_GBK" w:cs="方正仿宋_GBK"/>
                <w:i w:val="0"/>
                <w:iCs w:val="0"/>
                <w:color w:val="000000"/>
                <w:kern w:val="0"/>
                <w:sz w:val="24"/>
                <w:szCs w:val="24"/>
                <w:u w:val="none"/>
                <w:lang w:val="en-US" w:eastAsia="zh-CN" w:bidi="ar"/>
              </w:rPr>
              <w:t>1</w:t>
            </w:r>
          </w:p>
        </w:tc>
        <w:tc>
          <w:tcPr>
            <w:tcW w:w="1293" w:type="dxa"/>
            <w:vAlign w:val="center"/>
          </w:tcPr>
          <w:p>
            <w:pPr>
              <w:keepNext w:val="0"/>
              <w:keepLines w:val="0"/>
              <w:widowControl/>
              <w:suppressLineNumbers w:val="0"/>
              <w:jc w:val="center"/>
              <w:textAlignment w:val="center"/>
              <w:rPr>
                <w:rFonts w:hint="default" w:ascii="方正仿宋_GBK" w:hAnsi="方正仿宋_GBK" w:eastAsia="方正仿宋_GBK" w:cs="方正仿宋_GBK"/>
                <w:color w:val="000000"/>
                <w:kern w:val="0"/>
                <w:sz w:val="24"/>
                <w:lang w:val="en-US" w:eastAsia="zh-CN"/>
              </w:rPr>
            </w:pPr>
            <w:r>
              <w:rPr>
                <w:rFonts w:hint="eastAsia" w:ascii="方正仿宋_GBK" w:hAnsi="方正仿宋_GBK" w:eastAsia="方正仿宋_GBK" w:cs="方正仿宋_GBK"/>
                <w:i w:val="0"/>
                <w:iCs w:val="0"/>
                <w:color w:val="000000"/>
                <w:kern w:val="0"/>
                <w:sz w:val="24"/>
                <w:szCs w:val="24"/>
                <w:u w:val="none"/>
                <w:lang w:val="en-US" w:eastAsia="zh-CN" w:bidi="ar"/>
              </w:rPr>
              <w:t>意外伤害医疗</w:t>
            </w:r>
          </w:p>
        </w:tc>
        <w:tc>
          <w:tcPr>
            <w:tcW w:w="6319" w:type="dxa"/>
            <w:vAlign w:val="center"/>
          </w:tcPr>
          <w:p>
            <w:pPr>
              <w:keepNext w:val="0"/>
              <w:keepLines w:val="0"/>
              <w:widowControl/>
              <w:suppressLineNumbers w:val="0"/>
              <w:jc w:val="left"/>
              <w:textAlignment w:val="center"/>
              <w:rPr>
                <w:rFonts w:hint="default" w:ascii="方正仿宋_GBK" w:hAnsi="方正仿宋_GBK" w:eastAsia="方正仿宋_GBK" w:cs="方正仿宋_GBK"/>
                <w:color w:val="000000"/>
                <w:kern w:val="0"/>
                <w:sz w:val="24"/>
                <w:lang w:val="en-US" w:eastAsia="zh-CN"/>
              </w:rPr>
            </w:pPr>
            <w:r>
              <w:rPr>
                <w:rFonts w:hint="eastAsia" w:ascii="方正仿宋_GBK" w:hAnsi="方正仿宋_GBK" w:eastAsia="方正仿宋_GBK" w:cs="方正仿宋_GBK"/>
                <w:i w:val="0"/>
                <w:iCs w:val="0"/>
                <w:color w:val="000000"/>
                <w:kern w:val="0"/>
                <w:sz w:val="24"/>
                <w:szCs w:val="24"/>
                <w:u w:val="none"/>
                <w:lang w:val="en-US" w:eastAsia="zh-CN" w:bidi="ar"/>
              </w:rPr>
              <w:t>因意外伤害发生门诊和住院医保范围内的医疗费用，0元免赔，100%赔付；医保范围外（自费）的费用，0元免赔，不低于80%赔付。</w:t>
            </w:r>
          </w:p>
        </w:tc>
        <w:tc>
          <w:tcPr>
            <w:tcW w:w="973" w:type="dxa"/>
            <w:vAlign w:val="center"/>
          </w:tcPr>
          <w:p>
            <w:pPr>
              <w:keepNext w:val="0"/>
              <w:keepLines w:val="0"/>
              <w:widowControl/>
              <w:suppressLineNumbers w:val="0"/>
              <w:jc w:val="center"/>
              <w:textAlignment w:val="center"/>
              <w:rPr>
                <w:rFonts w:hint="default" w:ascii="方正仿宋_GBK" w:hAnsi="方正仿宋_GBK" w:eastAsia="方正仿宋_GBK" w:cs="方正仿宋_GBK"/>
                <w:color w:val="000000"/>
                <w:kern w:val="0"/>
                <w:sz w:val="24"/>
                <w:lang w:val="en-US" w:eastAsia="zh-CN"/>
              </w:rPr>
            </w:pPr>
            <w:r>
              <w:rPr>
                <w:rFonts w:hint="eastAsia" w:ascii="方正仿宋_GBK" w:hAnsi="方正仿宋_GBK" w:eastAsia="方正仿宋_GBK" w:cs="方正仿宋_GBK"/>
                <w:i w:val="0"/>
                <w:iCs w:val="0"/>
                <w:color w:val="000000"/>
                <w:kern w:val="0"/>
                <w:sz w:val="24"/>
                <w:szCs w:val="24"/>
                <w:u w:val="none"/>
                <w:lang w:val="en-US" w:eastAsia="zh-CN" w:bidi="ar"/>
              </w:rPr>
              <w:t>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8" w:hRule="exact"/>
        </w:trPr>
        <w:tc>
          <w:tcPr>
            <w:tcW w:w="989" w:type="dxa"/>
            <w:vAlign w:val="center"/>
          </w:tcPr>
          <w:p>
            <w:pPr>
              <w:keepNext w:val="0"/>
              <w:keepLines w:val="0"/>
              <w:widowControl/>
              <w:suppressLineNumbers w:val="0"/>
              <w:jc w:val="center"/>
              <w:textAlignment w:val="center"/>
              <w:rPr>
                <w:rFonts w:hint="default" w:ascii="方正仿宋_GBK" w:hAnsi="方正仿宋_GBK" w:eastAsia="方正仿宋_GBK" w:cs="方正仿宋_GBK"/>
                <w:color w:val="000000"/>
                <w:kern w:val="0"/>
                <w:sz w:val="24"/>
                <w:lang w:val="en-US" w:eastAsia="zh-CN"/>
              </w:rPr>
            </w:pPr>
            <w:r>
              <w:rPr>
                <w:rFonts w:hint="eastAsia" w:ascii="方正仿宋_GBK" w:hAnsi="方正仿宋_GBK" w:eastAsia="方正仿宋_GBK" w:cs="方正仿宋_GBK"/>
                <w:i w:val="0"/>
                <w:iCs w:val="0"/>
                <w:color w:val="000000"/>
                <w:kern w:val="0"/>
                <w:sz w:val="24"/>
                <w:szCs w:val="24"/>
                <w:u w:val="none"/>
                <w:lang w:val="en-US" w:eastAsia="zh-CN" w:bidi="ar"/>
              </w:rPr>
              <w:t>2</w:t>
            </w:r>
          </w:p>
        </w:tc>
        <w:tc>
          <w:tcPr>
            <w:tcW w:w="1293" w:type="dxa"/>
            <w:vAlign w:val="center"/>
          </w:tcPr>
          <w:p>
            <w:pPr>
              <w:keepNext w:val="0"/>
              <w:keepLines w:val="0"/>
              <w:widowControl/>
              <w:suppressLineNumbers w:val="0"/>
              <w:jc w:val="center"/>
              <w:textAlignment w:val="center"/>
              <w:rPr>
                <w:rFonts w:hint="default" w:ascii="方正仿宋_GBK" w:hAnsi="方正仿宋_GBK" w:eastAsia="方正仿宋_GBK" w:cs="方正仿宋_GBK"/>
                <w:color w:val="000000"/>
                <w:kern w:val="0"/>
                <w:sz w:val="24"/>
                <w:lang w:val="en-US" w:eastAsia="zh-CN"/>
              </w:rPr>
            </w:pPr>
            <w:r>
              <w:rPr>
                <w:rFonts w:hint="eastAsia" w:ascii="方正仿宋_GBK" w:hAnsi="方正仿宋_GBK" w:eastAsia="方正仿宋_GBK" w:cs="方正仿宋_GBK"/>
                <w:i w:val="0"/>
                <w:iCs w:val="0"/>
                <w:color w:val="000000"/>
                <w:kern w:val="0"/>
                <w:sz w:val="24"/>
                <w:szCs w:val="24"/>
                <w:u w:val="none"/>
                <w:lang w:val="en-US" w:eastAsia="zh-CN" w:bidi="ar"/>
              </w:rPr>
              <w:t>补充住院医疗</w:t>
            </w:r>
          </w:p>
        </w:tc>
        <w:tc>
          <w:tcPr>
            <w:tcW w:w="6319" w:type="dxa"/>
            <w:vAlign w:val="center"/>
          </w:tcPr>
          <w:p>
            <w:pPr>
              <w:keepNext w:val="0"/>
              <w:keepLines w:val="0"/>
              <w:widowControl/>
              <w:suppressLineNumbers w:val="0"/>
              <w:jc w:val="left"/>
              <w:textAlignment w:val="center"/>
              <w:rPr>
                <w:rFonts w:hint="default" w:ascii="方正仿宋_GBK" w:hAnsi="方正仿宋_GBK" w:eastAsia="方正仿宋_GBK" w:cs="方正仿宋_GBK"/>
                <w:color w:val="000000"/>
                <w:kern w:val="0"/>
                <w:sz w:val="24"/>
                <w:lang w:val="en-US" w:eastAsia="zh-CN"/>
              </w:rPr>
            </w:pPr>
            <w:r>
              <w:rPr>
                <w:rFonts w:hint="eastAsia" w:ascii="方正仿宋_GBK" w:hAnsi="方正仿宋_GBK" w:eastAsia="方正仿宋_GBK" w:cs="方正仿宋_GBK"/>
                <w:i w:val="0"/>
                <w:iCs w:val="0"/>
                <w:color w:val="000000"/>
                <w:kern w:val="0"/>
                <w:sz w:val="24"/>
                <w:szCs w:val="24"/>
                <w:u w:val="none"/>
                <w:lang w:val="en-US" w:eastAsia="zh-CN" w:bidi="ar"/>
              </w:rPr>
              <w:t>起付线以下及起付线至封顶线之间的符合基本医疗范围内的合理医疗费用（含乙类个人自付部分），0元免赔，需个人自付部分按100%比例给付。住院期间，封顶线及以下的自费项目费用，0元免赔，50%赔付。</w:t>
            </w:r>
          </w:p>
        </w:tc>
        <w:tc>
          <w:tcPr>
            <w:tcW w:w="973" w:type="dxa"/>
            <w:vAlign w:val="center"/>
          </w:tcPr>
          <w:p>
            <w:pPr>
              <w:keepNext w:val="0"/>
              <w:keepLines w:val="0"/>
              <w:widowControl/>
              <w:suppressLineNumbers w:val="0"/>
              <w:jc w:val="center"/>
              <w:textAlignment w:val="center"/>
              <w:rPr>
                <w:rFonts w:hint="default" w:ascii="方正仿宋_GBK" w:hAnsi="方正仿宋_GBK" w:eastAsia="方正仿宋_GBK" w:cs="方正仿宋_GBK"/>
                <w:color w:val="000000"/>
                <w:kern w:val="0"/>
                <w:sz w:val="24"/>
                <w:lang w:val="en-US" w:eastAsia="zh-CN"/>
              </w:rPr>
            </w:pPr>
            <w:r>
              <w:rPr>
                <w:rFonts w:hint="eastAsia" w:ascii="方正仿宋_GBK" w:hAnsi="方正仿宋_GBK" w:eastAsia="方正仿宋_GBK" w:cs="方正仿宋_GBK"/>
                <w:i w:val="0"/>
                <w:iCs w:val="0"/>
                <w:color w:val="000000"/>
                <w:kern w:val="0"/>
                <w:sz w:val="24"/>
                <w:szCs w:val="24"/>
                <w:u w:val="none"/>
                <w:lang w:val="en-US" w:eastAsia="zh-CN" w:bidi="ar"/>
              </w:rPr>
              <w:t>1.5万元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4" w:hRule="exact"/>
        </w:trPr>
        <w:tc>
          <w:tcPr>
            <w:tcW w:w="989" w:type="dxa"/>
            <w:vAlign w:val="center"/>
          </w:tcPr>
          <w:p>
            <w:pPr>
              <w:keepNext w:val="0"/>
              <w:keepLines w:val="0"/>
              <w:widowControl/>
              <w:suppressLineNumbers w:val="0"/>
              <w:jc w:val="center"/>
              <w:textAlignment w:val="center"/>
              <w:rPr>
                <w:rFonts w:hint="default" w:ascii="方正仿宋_GBK" w:hAnsi="方正仿宋_GBK" w:eastAsia="方正仿宋_GBK" w:cs="方正仿宋_GBK"/>
                <w:color w:val="000000"/>
                <w:kern w:val="0"/>
                <w:sz w:val="24"/>
                <w:lang w:val="en-US" w:eastAsia="zh-CN"/>
              </w:rPr>
            </w:pPr>
            <w:r>
              <w:rPr>
                <w:rFonts w:hint="eastAsia" w:ascii="方正仿宋_GBK" w:hAnsi="方正仿宋_GBK" w:eastAsia="方正仿宋_GBK" w:cs="方正仿宋_GBK"/>
                <w:i w:val="0"/>
                <w:iCs w:val="0"/>
                <w:color w:val="000000"/>
                <w:kern w:val="0"/>
                <w:sz w:val="24"/>
                <w:szCs w:val="24"/>
                <w:u w:val="none"/>
                <w:lang w:val="en-US" w:eastAsia="zh-CN" w:bidi="ar"/>
              </w:rPr>
              <w:t>3</w:t>
            </w:r>
          </w:p>
        </w:tc>
        <w:tc>
          <w:tcPr>
            <w:tcW w:w="1293" w:type="dxa"/>
            <w:vAlign w:val="center"/>
          </w:tcPr>
          <w:p>
            <w:pPr>
              <w:keepNext w:val="0"/>
              <w:keepLines w:val="0"/>
              <w:widowControl/>
              <w:suppressLineNumbers w:val="0"/>
              <w:jc w:val="center"/>
              <w:textAlignment w:val="center"/>
              <w:rPr>
                <w:rFonts w:hint="default" w:ascii="方正仿宋_GBK" w:hAnsi="方正仿宋_GBK" w:eastAsia="方正仿宋_GBK" w:cs="方正仿宋_GBK"/>
                <w:color w:val="000000"/>
                <w:kern w:val="0"/>
                <w:sz w:val="24"/>
                <w:lang w:val="en-US" w:eastAsia="zh-CN"/>
              </w:rPr>
            </w:pPr>
            <w:r>
              <w:rPr>
                <w:rFonts w:hint="eastAsia" w:ascii="方正仿宋_GBK" w:hAnsi="方正仿宋_GBK" w:eastAsia="方正仿宋_GBK" w:cs="方正仿宋_GBK"/>
                <w:i w:val="0"/>
                <w:iCs w:val="0"/>
                <w:color w:val="000000"/>
                <w:kern w:val="0"/>
                <w:sz w:val="24"/>
                <w:szCs w:val="24"/>
                <w:u w:val="none"/>
                <w:lang w:val="en-US" w:eastAsia="zh-CN" w:bidi="ar"/>
              </w:rPr>
              <w:t>门急诊</w:t>
            </w:r>
          </w:p>
        </w:tc>
        <w:tc>
          <w:tcPr>
            <w:tcW w:w="6319" w:type="dxa"/>
            <w:vAlign w:val="center"/>
          </w:tcPr>
          <w:p>
            <w:pPr>
              <w:keepNext w:val="0"/>
              <w:keepLines w:val="0"/>
              <w:widowControl/>
              <w:suppressLineNumbers w:val="0"/>
              <w:jc w:val="left"/>
              <w:textAlignment w:val="center"/>
              <w:rPr>
                <w:rFonts w:hint="default" w:ascii="方正仿宋_GBK" w:hAnsi="方正仿宋_GBK" w:eastAsia="方正仿宋_GBK" w:cs="方正仿宋_GBK"/>
                <w:color w:val="000000"/>
                <w:kern w:val="0"/>
                <w:sz w:val="24"/>
                <w:lang w:val="en-US" w:eastAsia="zh-CN"/>
              </w:rPr>
            </w:pPr>
            <w:r>
              <w:rPr>
                <w:rFonts w:hint="eastAsia" w:ascii="方正仿宋_GBK" w:hAnsi="方正仿宋_GBK" w:eastAsia="方正仿宋_GBK" w:cs="方正仿宋_GBK"/>
                <w:i w:val="0"/>
                <w:iCs w:val="0"/>
                <w:color w:val="000000"/>
                <w:kern w:val="0"/>
                <w:sz w:val="24"/>
                <w:szCs w:val="24"/>
                <w:u w:val="none"/>
                <w:lang w:val="en-US" w:eastAsia="zh-CN" w:bidi="ar"/>
              </w:rPr>
              <w:t>被保险人因疾病或意外进行门、急诊治疗所发生的符合基本医疗范围内的医疗费用，对剩余部分按100%比例给付。</w:t>
            </w:r>
          </w:p>
        </w:tc>
        <w:tc>
          <w:tcPr>
            <w:tcW w:w="973" w:type="dxa"/>
            <w:vAlign w:val="center"/>
          </w:tcPr>
          <w:p>
            <w:pPr>
              <w:keepNext w:val="0"/>
              <w:keepLines w:val="0"/>
              <w:widowControl/>
              <w:suppressLineNumbers w:val="0"/>
              <w:jc w:val="center"/>
              <w:textAlignment w:val="center"/>
              <w:rPr>
                <w:rFonts w:hint="default" w:ascii="方正仿宋_GBK" w:hAnsi="方正仿宋_GBK" w:eastAsia="方正仿宋_GBK" w:cs="方正仿宋_GBK"/>
                <w:color w:val="000000"/>
                <w:kern w:val="0"/>
                <w:sz w:val="24"/>
                <w:lang w:val="en-US" w:eastAsia="zh-CN"/>
              </w:rPr>
            </w:pPr>
            <w:r>
              <w:rPr>
                <w:rFonts w:hint="eastAsia" w:ascii="方正仿宋_GBK" w:hAnsi="方正仿宋_GBK" w:eastAsia="方正仿宋_GBK" w:cs="方正仿宋_GBK"/>
                <w:i w:val="0"/>
                <w:iCs w:val="0"/>
                <w:color w:val="000000"/>
                <w:kern w:val="0"/>
                <w:sz w:val="24"/>
                <w:szCs w:val="24"/>
                <w:u w:val="none"/>
                <w:lang w:val="en-US" w:eastAsia="zh-CN" w:bidi="ar"/>
              </w:rPr>
              <w:t>1万元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9" w:hRule="exact"/>
        </w:trPr>
        <w:tc>
          <w:tcPr>
            <w:tcW w:w="989" w:type="dxa"/>
            <w:vAlign w:val="center"/>
          </w:tcPr>
          <w:p>
            <w:pPr>
              <w:keepNext w:val="0"/>
              <w:keepLines w:val="0"/>
              <w:widowControl/>
              <w:suppressLineNumbers w:val="0"/>
              <w:jc w:val="center"/>
              <w:textAlignment w:val="center"/>
              <w:rPr>
                <w:rFonts w:hint="default" w:ascii="方正仿宋_GBK" w:hAnsi="方正仿宋_GBK" w:eastAsia="方正仿宋_GBK" w:cs="方正仿宋_GBK"/>
                <w:color w:val="000000"/>
                <w:kern w:val="0"/>
                <w:sz w:val="24"/>
                <w:lang w:val="en-US" w:eastAsia="zh-CN"/>
              </w:rPr>
            </w:pPr>
            <w:r>
              <w:rPr>
                <w:rFonts w:hint="eastAsia" w:ascii="方正仿宋_GBK" w:hAnsi="方正仿宋_GBK" w:eastAsia="方正仿宋_GBK" w:cs="方正仿宋_GBK"/>
                <w:i w:val="0"/>
                <w:iCs w:val="0"/>
                <w:color w:val="000000"/>
                <w:kern w:val="0"/>
                <w:sz w:val="24"/>
                <w:szCs w:val="24"/>
                <w:u w:val="none"/>
                <w:lang w:val="en-US" w:eastAsia="zh-CN" w:bidi="ar"/>
              </w:rPr>
              <w:t>4</w:t>
            </w:r>
          </w:p>
        </w:tc>
        <w:tc>
          <w:tcPr>
            <w:tcW w:w="1293" w:type="dxa"/>
            <w:vAlign w:val="center"/>
          </w:tcPr>
          <w:p>
            <w:pPr>
              <w:keepNext w:val="0"/>
              <w:keepLines w:val="0"/>
              <w:widowControl/>
              <w:suppressLineNumbers w:val="0"/>
              <w:jc w:val="center"/>
              <w:textAlignment w:val="center"/>
              <w:rPr>
                <w:rFonts w:hint="default" w:ascii="方正仿宋_GBK" w:hAnsi="方正仿宋_GBK" w:eastAsia="方正仿宋_GBK" w:cs="方正仿宋_GBK"/>
                <w:color w:val="000000"/>
                <w:kern w:val="0"/>
                <w:sz w:val="24"/>
                <w:lang w:val="en-US" w:eastAsia="zh-CN"/>
              </w:rPr>
            </w:pPr>
            <w:r>
              <w:rPr>
                <w:rFonts w:hint="eastAsia" w:ascii="方正仿宋_GBK" w:hAnsi="方正仿宋_GBK" w:eastAsia="方正仿宋_GBK" w:cs="方正仿宋_GBK"/>
                <w:i w:val="0"/>
                <w:iCs w:val="0"/>
                <w:color w:val="000000"/>
                <w:kern w:val="0"/>
                <w:sz w:val="24"/>
                <w:szCs w:val="24"/>
                <w:u w:val="none"/>
                <w:lang w:val="en-US" w:eastAsia="zh-CN" w:bidi="ar"/>
              </w:rPr>
              <w:t>高额住院医疗保障</w:t>
            </w:r>
          </w:p>
        </w:tc>
        <w:tc>
          <w:tcPr>
            <w:tcW w:w="6319" w:type="dxa"/>
            <w:vAlign w:val="center"/>
          </w:tcPr>
          <w:p>
            <w:pPr>
              <w:keepNext w:val="0"/>
              <w:keepLines w:val="0"/>
              <w:widowControl/>
              <w:suppressLineNumbers w:val="0"/>
              <w:jc w:val="left"/>
              <w:textAlignment w:val="center"/>
              <w:rPr>
                <w:rFonts w:hint="default" w:ascii="方正仿宋_GBK" w:hAnsi="方正仿宋_GBK" w:eastAsia="方正仿宋_GBK" w:cs="方正仿宋_GBK"/>
                <w:color w:val="000000"/>
                <w:kern w:val="0"/>
                <w:sz w:val="24"/>
                <w:lang w:val="en-US" w:eastAsia="zh-CN"/>
              </w:rPr>
            </w:pPr>
            <w:r>
              <w:rPr>
                <w:rFonts w:hint="eastAsia" w:ascii="方正仿宋_GBK" w:hAnsi="方正仿宋_GBK" w:eastAsia="方正仿宋_GBK" w:cs="方正仿宋_GBK"/>
                <w:i w:val="0"/>
                <w:iCs w:val="0"/>
                <w:color w:val="000000"/>
                <w:kern w:val="0"/>
                <w:sz w:val="24"/>
                <w:szCs w:val="24"/>
                <w:u w:val="none"/>
                <w:lang w:val="en-US" w:eastAsia="zh-CN" w:bidi="ar"/>
              </w:rPr>
              <w:t>发生的住院医疗费用、特殊门诊医疗费用、住院前7天和出院后30天内门急诊医疗费用，年免赔不超过1万元，按100%赔付。重大疾病无免赔额，100%赔付。承担既往症者为佳。</w:t>
            </w:r>
          </w:p>
        </w:tc>
        <w:tc>
          <w:tcPr>
            <w:tcW w:w="973" w:type="dxa"/>
            <w:vAlign w:val="center"/>
          </w:tcPr>
          <w:p>
            <w:pPr>
              <w:keepNext w:val="0"/>
              <w:keepLines w:val="0"/>
              <w:widowControl/>
              <w:suppressLineNumbers w:val="0"/>
              <w:jc w:val="center"/>
              <w:textAlignment w:val="center"/>
              <w:rPr>
                <w:rFonts w:hint="default" w:ascii="方正仿宋_GBK" w:hAnsi="方正仿宋_GBK" w:eastAsia="方正仿宋_GBK" w:cs="方正仿宋_GBK"/>
                <w:color w:val="000000"/>
                <w:kern w:val="0"/>
                <w:sz w:val="24"/>
                <w:lang w:val="en-US" w:eastAsia="zh-CN"/>
              </w:rPr>
            </w:pPr>
            <w:r>
              <w:rPr>
                <w:rFonts w:hint="eastAsia" w:ascii="方正仿宋_GBK" w:hAnsi="方正仿宋_GBK" w:eastAsia="方正仿宋_GBK" w:cs="方正仿宋_GBK"/>
                <w:i w:val="0"/>
                <w:iCs w:val="0"/>
                <w:color w:val="000000"/>
                <w:kern w:val="0"/>
                <w:sz w:val="24"/>
                <w:szCs w:val="24"/>
                <w:u w:val="none"/>
                <w:lang w:val="en-US" w:eastAsia="zh-CN" w:bidi="ar"/>
              </w:rPr>
              <w:t>100万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8" w:hRule="exact"/>
        </w:trPr>
        <w:tc>
          <w:tcPr>
            <w:tcW w:w="989" w:type="dxa"/>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2"/>
                <w:szCs w:val="22"/>
                <w:u w:val="none"/>
                <w:lang w:val="en-US" w:eastAsia="zh-CN" w:bidi="ar"/>
              </w:rPr>
              <w:t>5</w:t>
            </w:r>
          </w:p>
        </w:tc>
        <w:tc>
          <w:tcPr>
            <w:tcW w:w="1293"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特定医疗保险金</w:t>
            </w:r>
          </w:p>
        </w:tc>
        <w:tc>
          <w:tcPr>
            <w:tcW w:w="6319" w:type="dxa"/>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对于被保险人在医院的门、急诊医疗，康复医疗、护理、体检等发生的医疗费用，依据医疗相关发票按100%理赔。</w:t>
            </w:r>
          </w:p>
        </w:tc>
        <w:tc>
          <w:tcPr>
            <w:tcW w:w="973"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2"/>
                <w:szCs w:val="22"/>
                <w:u w:val="none"/>
                <w:lang w:val="en-US" w:eastAsia="zh-CN" w:bidi="ar"/>
              </w:rPr>
              <w:t>2000元/年.人</w:t>
            </w:r>
          </w:p>
        </w:tc>
      </w:tr>
    </w:tbl>
    <w:p>
      <w:pPr>
        <w:snapToGrid w:val="0"/>
        <w:spacing w:line="360" w:lineRule="auto"/>
        <w:rPr>
          <w:rFonts w:ascii="方正仿宋_GBK" w:hAnsi="方正仿宋_GBK" w:eastAsia="方正仿宋_GBK" w:cs="方正仿宋_GBK"/>
          <w:color w:val="000000" w:themeColor="text1"/>
          <w:sz w:val="24"/>
          <w:szCs w:val="24"/>
          <w14:textFill>
            <w14:solidFill>
              <w14:schemeClr w14:val="tx1"/>
            </w14:solidFill>
          </w14:textFill>
        </w:rPr>
      </w:pPr>
    </w:p>
    <w:p>
      <w:pPr>
        <w:snapToGrid w:val="0"/>
        <w:spacing w:line="360" w:lineRule="auto"/>
        <w:rPr>
          <w:rFonts w:ascii="宋体" w:hAnsi="宋体" w:cs="宋体"/>
          <w:color w:val="000000" w:themeColor="text1"/>
          <w:szCs w:val="21"/>
          <w14:textFill>
            <w14:solidFill>
              <w14:schemeClr w14:val="tx1"/>
            </w14:solidFill>
          </w14:textFill>
        </w:rPr>
      </w:pPr>
    </w:p>
    <w:p>
      <w:pPr>
        <w:pStyle w:val="3"/>
        <w:numPr>
          <w:ilvl w:val="0"/>
          <w:numId w:val="3"/>
        </w:numPr>
        <w:spacing w:line="360" w:lineRule="auto"/>
        <w:jc w:val="center"/>
        <w:rPr>
          <w:rFonts w:ascii="方正小标宋_GBK" w:hAnsi="方正小标宋_GBK" w:eastAsia="方正小标宋_GBK" w:cs="方正小标宋_GBK"/>
          <w:color w:val="000000" w:themeColor="text1"/>
          <w:sz w:val="28"/>
          <w:szCs w:val="28"/>
          <w14:textFill>
            <w14:solidFill>
              <w14:schemeClr w14:val="tx1"/>
            </w14:solidFill>
          </w14:textFill>
        </w:rPr>
      </w:pPr>
      <w:bookmarkStart w:id="42" w:name="_Toc377048353"/>
      <w:bookmarkEnd w:id="42"/>
      <w:bookmarkStart w:id="43" w:name="_Toc377048331"/>
      <w:bookmarkEnd w:id="43"/>
      <w:bookmarkStart w:id="44" w:name="_Toc377048559"/>
      <w:bookmarkEnd w:id="44"/>
      <w:bookmarkStart w:id="45" w:name="_Toc415063958"/>
      <w:bookmarkEnd w:id="45"/>
      <w:bookmarkStart w:id="46" w:name="_Toc415063737"/>
      <w:bookmarkEnd w:id="46"/>
      <w:bookmarkStart w:id="47" w:name="_Toc415063922"/>
      <w:bookmarkEnd w:id="47"/>
      <w:bookmarkStart w:id="48" w:name="_Toc415064093"/>
      <w:bookmarkEnd w:id="48"/>
      <w:bookmarkStart w:id="49" w:name="_Toc415064094"/>
      <w:bookmarkEnd w:id="49"/>
      <w:bookmarkStart w:id="50" w:name="_Toc415063908"/>
      <w:bookmarkEnd w:id="50"/>
      <w:bookmarkStart w:id="51" w:name="_Toc377048558"/>
      <w:bookmarkEnd w:id="51"/>
      <w:bookmarkStart w:id="52" w:name="_Toc415063907"/>
      <w:bookmarkEnd w:id="52"/>
      <w:bookmarkStart w:id="53" w:name="_Toc377048520"/>
      <w:bookmarkEnd w:id="53"/>
      <w:bookmarkStart w:id="54" w:name="_Toc377048525"/>
      <w:bookmarkEnd w:id="54"/>
      <w:bookmarkStart w:id="55" w:name="_Toc377048561"/>
      <w:bookmarkEnd w:id="55"/>
      <w:bookmarkStart w:id="56" w:name="_Toc377048505"/>
      <w:bookmarkEnd w:id="56"/>
      <w:bookmarkStart w:id="57" w:name="_Toc377048264"/>
      <w:bookmarkEnd w:id="57"/>
      <w:bookmarkStart w:id="58" w:name="_Toc415064258"/>
      <w:bookmarkEnd w:id="58"/>
      <w:bookmarkStart w:id="59" w:name="_Toc377048775"/>
      <w:bookmarkEnd w:id="59"/>
      <w:bookmarkStart w:id="60" w:name="_Toc415063703"/>
      <w:bookmarkEnd w:id="60"/>
      <w:bookmarkStart w:id="61" w:name="_Toc415063934"/>
      <w:bookmarkEnd w:id="61"/>
      <w:bookmarkStart w:id="62" w:name="_Toc415063700"/>
      <w:bookmarkEnd w:id="62"/>
      <w:bookmarkStart w:id="63" w:name="_Toc377048363"/>
      <w:bookmarkEnd w:id="63"/>
      <w:bookmarkStart w:id="64" w:name="_Toc415063921"/>
      <w:bookmarkEnd w:id="64"/>
      <w:bookmarkStart w:id="65" w:name="_Toc415063736"/>
      <w:bookmarkEnd w:id="65"/>
      <w:bookmarkStart w:id="66" w:name="_Toc377048391"/>
      <w:bookmarkEnd w:id="66"/>
      <w:bookmarkStart w:id="67" w:name="_Toc377048673"/>
      <w:bookmarkEnd w:id="67"/>
      <w:bookmarkStart w:id="68" w:name="_Toc377048611"/>
      <w:bookmarkEnd w:id="68"/>
      <w:bookmarkStart w:id="69" w:name="_Toc377048695"/>
      <w:bookmarkEnd w:id="69"/>
      <w:bookmarkStart w:id="70" w:name="_Toc415064279"/>
      <w:bookmarkEnd w:id="70"/>
      <w:bookmarkStart w:id="71" w:name="_Toc415064092"/>
      <w:bookmarkEnd w:id="71"/>
      <w:bookmarkStart w:id="72" w:name="_Toc377048246"/>
      <w:bookmarkEnd w:id="72"/>
      <w:bookmarkStart w:id="73" w:name="_Toc377048705"/>
      <w:bookmarkEnd w:id="73"/>
      <w:bookmarkStart w:id="74" w:name="_Toc377048211"/>
      <w:bookmarkEnd w:id="74"/>
      <w:bookmarkStart w:id="75" w:name="_Toc377048792"/>
      <w:bookmarkEnd w:id="75"/>
      <w:bookmarkStart w:id="76" w:name="_Toc415064145"/>
      <w:bookmarkEnd w:id="76"/>
      <w:bookmarkStart w:id="77" w:name="_Toc377048793"/>
      <w:bookmarkEnd w:id="77"/>
      <w:bookmarkStart w:id="78" w:name="_Toc377048330"/>
      <w:bookmarkEnd w:id="78"/>
      <w:bookmarkStart w:id="79" w:name="_Toc415063702"/>
      <w:bookmarkEnd w:id="79"/>
      <w:bookmarkStart w:id="80" w:name="_Toc377048738"/>
      <w:bookmarkEnd w:id="80"/>
      <w:bookmarkStart w:id="81" w:name="_Toc377048649"/>
      <w:bookmarkEnd w:id="81"/>
      <w:bookmarkStart w:id="82" w:name="_Toc415064024"/>
      <w:bookmarkEnd w:id="82"/>
      <w:bookmarkStart w:id="83" w:name="_Toc415064073"/>
      <w:bookmarkEnd w:id="83"/>
      <w:bookmarkStart w:id="84" w:name="_Toc377048700"/>
      <w:bookmarkEnd w:id="84"/>
      <w:bookmarkStart w:id="85" w:name="_Toc415064163"/>
      <w:bookmarkEnd w:id="85"/>
      <w:bookmarkStart w:id="86" w:name="_Toc377048811"/>
      <w:bookmarkEnd w:id="86"/>
      <w:bookmarkStart w:id="87" w:name="_Toc377048364"/>
      <w:bookmarkEnd w:id="87"/>
      <w:bookmarkStart w:id="88" w:name="_Toc377048397"/>
      <w:bookmarkEnd w:id="88"/>
      <w:bookmarkStart w:id="89" w:name="_Toc377048667"/>
      <w:bookmarkEnd w:id="89"/>
      <w:bookmarkStart w:id="90" w:name="_Toc377048450"/>
      <w:bookmarkEnd w:id="90"/>
      <w:bookmarkStart w:id="91" w:name="_Toc415063590"/>
      <w:bookmarkEnd w:id="91"/>
      <w:bookmarkStart w:id="92" w:name="_Toc415063775"/>
      <w:bookmarkEnd w:id="92"/>
      <w:bookmarkStart w:id="93" w:name="_Toc415064144"/>
      <w:bookmarkEnd w:id="93"/>
      <w:bookmarkStart w:id="94" w:name="_Toc377048451"/>
      <w:bookmarkEnd w:id="94"/>
      <w:bookmarkStart w:id="95" w:name="_Toc377048757"/>
      <w:bookmarkEnd w:id="95"/>
      <w:bookmarkStart w:id="96" w:name="_Toc415064072"/>
      <w:bookmarkEnd w:id="96"/>
      <w:bookmarkStart w:id="97" w:name="_Toc415063979"/>
      <w:bookmarkEnd w:id="97"/>
      <w:bookmarkStart w:id="98" w:name="_Toc377048650"/>
      <w:bookmarkEnd w:id="98"/>
      <w:bookmarkStart w:id="99" w:name="_Toc415064291"/>
      <w:bookmarkEnd w:id="99"/>
      <w:bookmarkStart w:id="100" w:name="_Toc415064182"/>
      <w:bookmarkEnd w:id="100"/>
      <w:bookmarkStart w:id="101" w:name="_Toc415063935"/>
      <w:bookmarkEnd w:id="101"/>
      <w:bookmarkStart w:id="102" w:name="_Toc415063997"/>
      <w:bookmarkEnd w:id="102"/>
      <w:bookmarkStart w:id="103" w:name="_Toc415063885"/>
      <w:bookmarkEnd w:id="103"/>
      <w:bookmarkStart w:id="104" w:name="_Toc415063887"/>
      <w:bookmarkEnd w:id="104"/>
      <w:bookmarkStart w:id="105" w:name="_Toc415063608"/>
      <w:bookmarkEnd w:id="105"/>
      <w:bookmarkStart w:id="106" w:name="_Toc377048184"/>
      <w:bookmarkEnd w:id="106"/>
      <w:bookmarkStart w:id="107" w:name="_Toc415063960"/>
      <w:bookmarkEnd w:id="107"/>
      <w:bookmarkStart w:id="108" w:name="_Toc377048219"/>
      <w:bookmarkEnd w:id="108"/>
      <w:bookmarkStart w:id="109" w:name="_Toc377048483"/>
      <w:bookmarkEnd w:id="109"/>
      <w:bookmarkStart w:id="110" w:name="_Toc377048560"/>
      <w:bookmarkEnd w:id="110"/>
      <w:bookmarkStart w:id="111" w:name="_Toc377048672"/>
      <w:bookmarkEnd w:id="111"/>
      <w:bookmarkStart w:id="112" w:name="_Toc377048756"/>
      <w:bookmarkEnd w:id="112"/>
      <w:bookmarkStart w:id="113" w:name="_Toc415064120"/>
      <w:bookmarkEnd w:id="113"/>
      <w:bookmarkStart w:id="114" w:name="_Toc415064107"/>
      <w:bookmarkEnd w:id="114"/>
      <w:bookmarkStart w:id="115" w:name="_Toc415064074"/>
      <w:bookmarkEnd w:id="115"/>
      <w:bookmarkStart w:id="116" w:name="_Toc415063888"/>
      <w:bookmarkEnd w:id="116"/>
      <w:bookmarkStart w:id="117" w:name="_Toc415063655"/>
      <w:bookmarkEnd w:id="117"/>
      <w:bookmarkStart w:id="118" w:name="_Toc415064255"/>
      <w:bookmarkEnd w:id="118"/>
      <w:bookmarkStart w:id="119" w:name="_Toc415064164"/>
      <w:bookmarkEnd w:id="119"/>
      <w:bookmarkStart w:id="120" w:name="_Toc415063588"/>
      <w:bookmarkEnd w:id="120"/>
      <w:bookmarkStart w:id="121" w:name="_Toc377048469"/>
      <w:bookmarkEnd w:id="121"/>
      <w:bookmarkStart w:id="122" w:name="_Toc415064277"/>
      <w:bookmarkEnd w:id="122"/>
      <w:bookmarkStart w:id="123" w:name="_Toc377048307"/>
      <w:bookmarkEnd w:id="123"/>
      <w:bookmarkStart w:id="124" w:name="_Toc377048774"/>
      <w:bookmarkEnd w:id="124"/>
      <w:bookmarkStart w:id="125" w:name="_Toc377048287"/>
      <w:bookmarkEnd w:id="125"/>
      <w:bookmarkStart w:id="126" w:name="_Toc377048629"/>
      <w:bookmarkEnd w:id="126"/>
      <w:bookmarkStart w:id="127" w:name="_Toc377048216"/>
      <w:bookmarkEnd w:id="127"/>
      <w:bookmarkStart w:id="128" w:name="_Toc377048728"/>
      <w:bookmarkEnd w:id="128"/>
      <w:bookmarkStart w:id="129" w:name="_Toc377048358"/>
      <w:bookmarkEnd w:id="129"/>
      <w:bookmarkStart w:id="130" w:name="_Toc415064210"/>
      <w:bookmarkEnd w:id="130"/>
      <w:bookmarkStart w:id="131" w:name="_Toc415063841"/>
      <w:bookmarkEnd w:id="131"/>
      <w:bookmarkStart w:id="132" w:name="_Toc415063840"/>
      <w:bookmarkEnd w:id="132"/>
      <w:bookmarkStart w:id="133" w:name="_Toc415063959"/>
      <w:bookmarkEnd w:id="133"/>
      <w:bookmarkStart w:id="134" w:name="_Toc415063794"/>
      <w:bookmarkEnd w:id="134"/>
      <w:bookmarkStart w:id="135" w:name="_Toc377048231"/>
      <w:bookmarkEnd w:id="135"/>
      <w:bookmarkStart w:id="136" w:name="_Toc415063656"/>
      <w:bookmarkEnd w:id="136"/>
      <w:bookmarkStart w:id="137" w:name="_Toc377048414"/>
      <w:bookmarkEnd w:id="137"/>
      <w:bookmarkStart w:id="138" w:name="_Toc415063750"/>
      <w:bookmarkEnd w:id="138"/>
      <w:bookmarkStart w:id="139" w:name="_Toc377048308"/>
      <w:bookmarkEnd w:id="139"/>
      <w:bookmarkStart w:id="140" w:name="_Toc377048739"/>
      <w:bookmarkEnd w:id="140"/>
      <w:bookmarkStart w:id="141" w:name="_Toc415064256"/>
      <w:bookmarkEnd w:id="141"/>
      <w:bookmarkStart w:id="142" w:name="_Toc377048612"/>
      <w:bookmarkEnd w:id="142"/>
      <w:bookmarkStart w:id="143" w:name="_Toc415063609"/>
      <w:bookmarkEnd w:id="143"/>
      <w:bookmarkStart w:id="144" w:name="_Toc415064211"/>
      <w:bookmarkEnd w:id="144"/>
      <w:bookmarkStart w:id="145" w:name="_Toc377048733"/>
      <w:bookmarkEnd w:id="145"/>
      <w:bookmarkStart w:id="146" w:name="_Toc377048270"/>
      <w:bookmarkEnd w:id="146"/>
      <w:bookmarkStart w:id="147" w:name="_Toc415064292"/>
      <w:bookmarkEnd w:id="147"/>
      <w:bookmarkStart w:id="148" w:name="_Toc377048573"/>
      <w:bookmarkEnd w:id="148"/>
      <w:bookmarkStart w:id="149" w:name="_Toc377048217"/>
      <w:bookmarkEnd w:id="149"/>
      <w:bookmarkStart w:id="150" w:name="_Toc377048606"/>
      <w:bookmarkEnd w:id="150"/>
      <w:bookmarkStart w:id="151" w:name="_Toc377048553"/>
      <w:bookmarkEnd w:id="151"/>
      <w:bookmarkStart w:id="152" w:name="_Toc415063839"/>
      <w:bookmarkEnd w:id="152"/>
      <w:bookmarkStart w:id="153" w:name="_Toc377048495"/>
      <w:bookmarkEnd w:id="153"/>
      <w:bookmarkStart w:id="154" w:name="_Toc377048218"/>
      <w:bookmarkEnd w:id="154"/>
      <w:bookmarkStart w:id="155" w:name="_Toc377048163"/>
      <w:bookmarkEnd w:id="155"/>
      <w:bookmarkStart w:id="156" w:name="_Toc415063909"/>
      <w:bookmarkEnd w:id="156"/>
      <w:bookmarkStart w:id="157" w:name="_Toc377048178"/>
      <w:bookmarkEnd w:id="157"/>
      <w:bookmarkStart w:id="158" w:name="_Toc415064278"/>
      <w:bookmarkEnd w:id="158"/>
      <w:bookmarkStart w:id="159" w:name="_Toc377048269"/>
      <w:bookmarkEnd w:id="159"/>
      <w:bookmarkStart w:id="160" w:name="_Toc415064259"/>
      <w:bookmarkEnd w:id="160"/>
      <w:bookmarkStart w:id="161" w:name="_Toc415064119"/>
      <w:bookmarkEnd w:id="161"/>
      <w:bookmarkStart w:id="162" w:name="_Toc415064257"/>
      <w:bookmarkEnd w:id="162"/>
      <w:bookmarkStart w:id="163" w:name="_Toc377048589"/>
      <w:bookmarkEnd w:id="163"/>
      <w:bookmarkStart w:id="164" w:name="_Toc415064304"/>
      <w:bookmarkEnd w:id="164"/>
      <w:bookmarkStart w:id="165" w:name="_Toc415063724"/>
      <w:bookmarkEnd w:id="165"/>
      <w:bookmarkStart w:id="166" w:name="_Toc377048141"/>
      <w:bookmarkEnd w:id="166"/>
      <w:bookmarkStart w:id="167" w:name="_Toc415063886"/>
      <w:bookmarkEnd w:id="167"/>
      <w:bookmarkStart w:id="168" w:name="_Toc415064071"/>
      <w:bookmarkEnd w:id="168"/>
      <w:bookmarkStart w:id="169" w:name="_Toc415063701"/>
      <w:bookmarkEnd w:id="169"/>
      <w:bookmarkStart w:id="170" w:name="_Toc415064026"/>
      <w:bookmarkEnd w:id="170"/>
      <w:bookmarkStart w:id="171" w:name="_Toc415063773"/>
      <w:bookmarkEnd w:id="171"/>
      <w:bookmarkStart w:id="172" w:name="_Toc415063704"/>
      <w:bookmarkEnd w:id="172"/>
      <w:bookmarkStart w:id="173" w:name="_Toc415063722"/>
      <w:bookmarkEnd w:id="173"/>
      <w:bookmarkStart w:id="174" w:name="_Toc415063889"/>
      <w:bookmarkEnd w:id="174"/>
      <w:bookmarkStart w:id="175" w:name="_Toc415064305"/>
      <w:bookmarkEnd w:id="175"/>
      <w:bookmarkStart w:id="176" w:name="_Toc377048468"/>
      <w:bookmarkEnd w:id="176"/>
      <w:bookmarkStart w:id="177" w:name="_Toc377048432"/>
      <w:bookmarkEnd w:id="177"/>
      <w:bookmarkStart w:id="178" w:name="_Toc415063978"/>
      <w:bookmarkEnd w:id="178"/>
      <w:bookmarkStart w:id="179" w:name="_Toc377048325"/>
      <w:bookmarkEnd w:id="179"/>
      <w:bookmarkStart w:id="180" w:name="_Toc415064106"/>
      <w:bookmarkEnd w:id="180"/>
      <w:bookmarkStart w:id="181" w:name="_Toc377048433"/>
      <w:bookmarkEnd w:id="181"/>
      <w:bookmarkStart w:id="182" w:name="_Toc377048706"/>
      <w:bookmarkEnd w:id="182"/>
      <w:bookmarkStart w:id="183" w:name="_Toc415063793"/>
      <w:bookmarkEnd w:id="183"/>
      <w:bookmarkStart w:id="184" w:name="_Toc415063774"/>
      <w:bookmarkEnd w:id="184"/>
      <w:bookmarkStart w:id="185" w:name="_Toc415063723"/>
      <w:bookmarkEnd w:id="185"/>
      <w:bookmarkStart w:id="186" w:name="_Toc415064143"/>
      <w:bookmarkEnd w:id="186"/>
      <w:bookmarkStart w:id="187" w:name="_Toc415063589"/>
      <w:bookmarkEnd w:id="187"/>
      <w:bookmarkStart w:id="188" w:name="_Toc377048810"/>
      <w:bookmarkEnd w:id="188"/>
      <w:bookmarkStart w:id="189" w:name="_Toc377048396"/>
      <w:bookmarkEnd w:id="189"/>
      <w:bookmarkStart w:id="190" w:name="_Toc415064025"/>
      <w:bookmarkEnd w:id="190"/>
      <w:bookmarkStart w:id="191" w:name="_Toc415064209"/>
      <w:bookmarkEnd w:id="191"/>
      <w:bookmarkStart w:id="192" w:name="_Toc415064070"/>
      <w:bookmarkEnd w:id="192"/>
      <w:bookmarkStart w:id="193" w:name="_Toc415063812"/>
      <w:bookmarkEnd w:id="193"/>
      <w:bookmarkStart w:id="194" w:name="_Toc377048386"/>
      <w:bookmarkEnd w:id="194"/>
      <w:bookmarkStart w:id="195" w:name="_Toc415063654"/>
      <w:bookmarkEnd w:id="195"/>
      <w:bookmarkStart w:id="196" w:name="_Toc415063627"/>
      <w:bookmarkEnd w:id="196"/>
      <w:bookmarkStart w:id="197" w:name="_Toc377048415"/>
      <w:bookmarkEnd w:id="197"/>
      <w:bookmarkStart w:id="198" w:name="_Toc415063749"/>
      <w:bookmarkEnd w:id="198"/>
      <w:bookmarkStart w:id="199" w:name="_Toc377048247"/>
      <w:bookmarkEnd w:id="199"/>
      <w:bookmarkStart w:id="200" w:name="_Toc377048526"/>
      <w:bookmarkEnd w:id="200"/>
      <w:bookmarkStart w:id="201" w:name="_Toc377048153"/>
      <w:bookmarkEnd w:id="201"/>
      <w:bookmarkStart w:id="202" w:name="_Toc377048183"/>
      <w:bookmarkEnd w:id="202"/>
      <w:bookmarkStart w:id="203" w:name="_Toc377048588"/>
      <w:bookmarkEnd w:id="203"/>
      <w:bookmarkStart w:id="204" w:name="_Toc29381"/>
      <w:r>
        <w:rPr>
          <w:rFonts w:hint="eastAsia" w:ascii="方正小标宋_GBK" w:hAnsi="方正小标宋_GBK" w:eastAsia="方正小标宋_GBK" w:cs="方正小标宋_GBK"/>
          <w:color w:val="000000" w:themeColor="text1"/>
          <w:sz w:val="28"/>
          <w:szCs w:val="28"/>
          <w14:textFill>
            <w14:solidFill>
              <w14:schemeClr w14:val="tx1"/>
            </w14:solidFill>
          </w14:textFill>
        </w:rPr>
        <w:t>其它特别约定</w:t>
      </w:r>
      <w:bookmarkEnd w:id="204"/>
    </w:p>
    <w:p>
      <w:pPr>
        <w:spacing w:line="480" w:lineRule="exact"/>
        <w:ind w:firstLine="573"/>
        <w:rPr>
          <w:rFonts w:ascii="方正仿宋_GBK" w:hAnsi="方正仿宋_GBK" w:eastAsia="方正仿宋_GBK" w:cs="方正仿宋_GBK"/>
          <w:color w:val="000000" w:themeColor="text1"/>
          <w:sz w:val="24"/>
          <w:szCs w:val="24"/>
          <w14:textFill>
            <w14:solidFill>
              <w14:schemeClr w14:val="tx1"/>
            </w14:solidFill>
          </w14:textFill>
        </w:rPr>
      </w:pPr>
      <w:bookmarkStart w:id="205" w:name="_Toc31159"/>
      <w:r>
        <w:rPr>
          <w:rFonts w:hint="eastAsia" w:ascii="方正仿宋_GBK" w:hAnsi="方正仿宋_GBK" w:eastAsia="方正仿宋_GBK" w:cs="方正仿宋_GBK"/>
          <w:color w:val="000000" w:themeColor="text1"/>
          <w:sz w:val="24"/>
          <w:szCs w:val="24"/>
          <w14:textFill>
            <w14:solidFill>
              <w14:schemeClr w14:val="tx1"/>
            </w14:solidFill>
          </w14:textFill>
        </w:rPr>
        <w:t>（</w:t>
      </w:r>
      <w:r>
        <w:rPr>
          <w:rFonts w:hint="eastAsia" w:ascii="方正仿宋_GBK" w:hAnsi="方正仿宋_GBK" w:cs="方正仿宋_GBK"/>
          <w:color w:val="000000" w:themeColor="text1"/>
          <w:sz w:val="24"/>
          <w:szCs w:val="24"/>
          <w14:textFill>
            <w14:solidFill>
              <w14:schemeClr w14:val="tx1"/>
            </w14:solidFill>
          </w14:textFill>
        </w:rPr>
        <w:t>1</w:t>
      </w:r>
      <w:r>
        <w:rPr>
          <w:rFonts w:hint="eastAsia" w:ascii="方正仿宋_GBK" w:hAnsi="方正仿宋_GBK" w:eastAsia="方正仿宋_GBK" w:cs="方正仿宋_GBK"/>
          <w:color w:val="000000" w:themeColor="text1"/>
          <w:sz w:val="24"/>
          <w:szCs w:val="24"/>
          <w14:textFill>
            <w14:solidFill>
              <w14:schemeClr w14:val="tx1"/>
            </w14:solidFill>
          </w14:textFill>
        </w:rPr>
        <w:t>）以上保障均承担非严重的既往症导致的保险责任。对于被保险人因</w:t>
      </w:r>
      <w:r>
        <w:rPr>
          <w:rFonts w:hint="eastAsia" w:ascii="方正仿宋_GBK" w:hAnsi="方正仿宋_GBK" w:cs="方正仿宋_GBK"/>
          <w:color w:val="000000" w:themeColor="text1"/>
          <w:sz w:val="24"/>
          <w:szCs w:val="24"/>
          <w14:textFill>
            <w14:solidFill>
              <w14:schemeClr w14:val="tx1"/>
            </w14:solidFill>
          </w14:textFill>
        </w:rPr>
        <w:t>在我司</w:t>
      </w:r>
      <w:r>
        <w:rPr>
          <w:rFonts w:hint="eastAsia" w:ascii="方正仿宋_GBK" w:hAnsi="方正仿宋_GBK" w:eastAsia="方正仿宋_GBK" w:cs="方正仿宋_GBK"/>
          <w:color w:val="000000" w:themeColor="text1"/>
          <w:sz w:val="24"/>
          <w:szCs w:val="24"/>
          <w14:textFill>
            <w14:solidFill>
              <w14:schemeClr w14:val="tx1"/>
            </w14:solidFill>
          </w14:textFill>
        </w:rPr>
        <w:t>首次投保前或新入司人员投保前发生的、未治愈的严重既往症及其并发症导致的保险责任作为除外责任。</w:t>
      </w:r>
      <w:bookmarkEnd w:id="205"/>
    </w:p>
    <w:p>
      <w:pPr>
        <w:spacing w:line="480" w:lineRule="exact"/>
        <w:ind w:firstLine="573"/>
        <w:rPr>
          <w:rFonts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 xml:space="preserve">严重既往症：恶性肿瘤、心脏病（心功能不全Ⅱ级及Ⅱ级以上）、心肌梗塞、白血病、高血压病（Ⅱ级及Ⅱ级以上）、肝硬化、慢性阻塞性支气管疾病、脑血管疾病、慢性肾脏疾病、慢性病毒性肝炎、糖尿病、系统性红斑狼疮、再生障碍性贫血、先天性疾病、未明确性质的肿块/阴影/结节、精神疾病或者精神分裂、癫痫病、法定甲乙类传染病、艾滋病、性病。 </w:t>
      </w:r>
    </w:p>
    <w:p>
      <w:pPr>
        <w:spacing w:line="480" w:lineRule="exact"/>
        <w:ind w:firstLine="573"/>
        <w:rPr>
          <w:rFonts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【法定传染病】：是指下列法定传染病发生流行疫情的情况：</w:t>
      </w:r>
    </w:p>
    <w:p>
      <w:pPr>
        <w:spacing w:line="480" w:lineRule="exact"/>
        <w:ind w:firstLine="573"/>
        <w:rPr>
          <w:rFonts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甲类：鼠疫、霍乱及副霍乱、天花。</w:t>
      </w:r>
    </w:p>
    <w:p>
      <w:pPr>
        <w:spacing w:line="480" w:lineRule="exact"/>
        <w:ind w:firstLine="573"/>
        <w:rPr>
          <w:rFonts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乙类：白喉、流行性脑脊髓膜炎、细菌性和阿米巴性痢疾、伤寒和副伤寒、病毒性肝炎、疟疾、斑疹伤寒、黑热病、流行性乙型脑炎、流行性出血热、布鲁氏菌病、钩端螺旋体病、炭疽、布鲁氏菌病。</w:t>
      </w:r>
    </w:p>
    <w:p>
      <w:pPr>
        <w:spacing w:line="480" w:lineRule="exact"/>
        <w:ind w:firstLine="573"/>
        <w:rPr>
          <w:rFonts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w:t>
      </w:r>
      <w:r>
        <w:rPr>
          <w:rFonts w:hint="eastAsia" w:ascii="方正仿宋_GBK" w:hAnsi="方正仿宋_GBK" w:cs="方正仿宋_GBK"/>
          <w:color w:val="000000" w:themeColor="text1"/>
          <w:sz w:val="24"/>
          <w:szCs w:val="24"/>
          <w14:textFill>
            <w14:solidFill>
              <w14:schemeClr w14:val="tx1"/>
            </w14:solidFill>
          </w14:textFill>
        </w:rPr>
        <w:t>2</w:t>
      </w:r>
      <w:r>
        <w:rPr>
          <w:rFonts w:hint="eastAsia" w:ascii="方正仿宋_GBK" w:hAnsi="方正仿宋_GBK" w:eastAsia="方正仿宋_GBK" w:cs="方正仿宋_GBK"/>
          <w:color w:val="000000" w:themeColor="text1"/>
          <w:sz w:val="24"/>
          <w:szCs w:val="24"/>
          <w14:textFill>
            <w14:solidFill>
              <w14:schemeClr w14:val="tx1"/>
            </w14:solidFill>
          </w14:textFill>
        </w:rPr>
        <w:t>）就医规定：被保险人出险后必须到二级或二级以上公立医院及重庆红楼医院、重庆红岭手足外科医院、重庆恒生手外科医院、重庆长城医院就医（急诊情况除外，紧急医疗救助可以就近就医后再转院）。</w:t>
      </w:r>
    </w:p>
    <w:p>
      <w:pPr>
        <w:spacing w:line="480" w:lineRule="exact"/>
        <w:ind w:firstLine="573"/>
        <w:rPr>
          <w:rFonts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急诊情况如下：高热(成人38.5度，小儿39度以上)、急性腹痛、剧烈呕吐、严重腹泻、各种原因的休克、昏迷、癫痫发作、严重喘息、呼吸困难、急性胸痛、急性心力衰竭、严重心律失常、高血压危象、高血压脑病、脑血管意外、各种原因所致急性出血、急性泌尿道出积血、尿闭、血闭、肾绞痛、各种急性(食物或药物中毒)、各种意外（触电、溺水）、脑外伤、骨折、脱位、撕裂、灼伤、或其它急性外伤、各种有毒动物、昆虫咬伤、急性过敏性疾病、五官及呼吸道异物、食道异物、急性眼痛、红、肿、突然视力障碍者以及眼外伤。</w:t>
      </w:r>
    </w:p>
    <w:p>
      <w:pPr>
        <w:spacing w:line="480" w:lineRule="exact"/>
        <w:ind w:firstLine="573"/>
        <w:rPr>
          <w:rFonts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（3）</w:t>
      </w:r>
      <w:r>
        <w:rPr>
          <w:rFonts w:hint="eastAsia" w:ascii="方正仿宋_GBK" w:hAnsi="方正仿宋_GBK" w:eastAsia="方正仿宋_GBK" w:cs="方正仿宋_GBK"/>
          <w:color w:val="000000" w:themeColor="text1"/>
          <w:sz w:val="24"/>
          <w:szCs w:val="24"/>
          <w:lang w:val="zh-CN"/>
          <w14:textFill>
            <w14:solidFill>
              <w14:schemeClr w14:val="tx1"/>
            </w14:solidFill>
          </w14:textFill>
        </w:rPr>
        <w:t>门诊和住院医疗保险承担因龋病、牙髓病、牙隐裂所引起的补牙，治牙神经、拔牙、阻生齿治疗以及牙周组织疾病，如牙周炎、牙龈炎、根周炎等治疗（含牙科治疗时必须的洁牙治疗）所发生的合理医疗费用 。</w:t>
      </w:r>
    </w:p>
    <w:p>
      <w:pPr>
        <w:spacing w:line="480" w:lineRule="exact"/>
        <w:ind w:firstLine="573"/>
        <w:rPr>
          <w:rFonts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w:t>
      </w:r>
      <w:r>
        <w:rPr>
          <w:rFonts w:hint="eastAsia" w:ascii="方正仿宋_GBK" w:hAnsi="方正仿宋_GBK" w:cs="方正仿宋_GBK"/>
          <w:color w:val="000000" w:themeColor="text1"/>
          <w:sz w:val="24"/>
          <w:szCs w:val="24"/>
          <w14:textFill>
            <w14:solidFill>
              <w14:schemeClr w14:val="tx1"/>
            </w14:solidFill>
          </w14:textFill>
        </w:rPr>
        <w:t>4</w:t>
      </w:r>
      <w:r>
        <w:rPr>
          <w:rFonts w:hint="eastAsia" w:ascii="方正仿宋_GBK" w:hAnsi="方正仿宋_GBK" w:eastAsia="方正仿宋_GBK" w:cs="方正仿宋_GBK"/>
          <w:color w:val="000000" w:themeColor="text1"/>
          <w:sz w:val="24"/>
          <w:szCs w:val="24"/>
          <w14:textFill>
            <w14:solidFill>
              <w14:schemeClr w14:val="tx1"/>
            </w14:solidFill>
          </w14:textFill>
        </w:rPr>
        <w:t>）其他未尽事宜以对应条款为准。</w:t>
      </w:r>
    </w:p>
    <w:p>
      <w:pPr>
        <w:pStyle w:val="3"/>
        <w:numPr>
          <w:ilvl w:val="0"/>
          <w:numId w:val="3"/>
        </w:numPr>
        <w:spacing w:line="360" w:lineRule="auto"/>
        <w:jc w:val="center"/>
        <w:rPr>
          <w:rFonts w:ascii="方正小标宋_GBK" w:hAnsi="方正小标宋_GBK" w:eastAsia="方正小标宋_GBK" w:cs="方正小标宋_GBK"/>
          <w:color w:val="000000" w:themeColor="text1"/>
          <w:sz w:val="28"/>
          <w:szCs w:val="28"/>
          <w14:textFill>
            <w14:solidFill>
              <w14:schemeClr w14:val="tx1"/>
            </w14:solidFill>
          </w14:textFill>
        </w:rPr>
      </w:pPr>
      <w:bookmarkStart w:id="206" w:name="_Toc20082"/>
      <w:r>
        <w:rPr>
          <w:rFonts w:hint="eastAsia" w:ascii="方正小标宋_GBK" w:hAnsi="方正小标宋_GBK" w:eastAsia="方正小标宋_GBK" w:cs="方正小标宋_GBK"/>
          <w:color w:val="000000" w:themeColor="text1"/>
          <w:sz w:val="28"/>
          <w:szCs w:val="28"/>
          <w14:textFill>
            <w14:solidFill>
              <w14:schemeClr w14:val="tx1"/>
            </w14:solidFill>
          </w14:textFill>
        </w:rPr>
        <w:t>保险费缴纳</w:t>
      </w:r>
      <w:bookmarkEnd w:id="206"/>
    </w:p>
    <w:p>
      <w:pPr>
        <w:spacing w:line="480" w:lineRule="exact"/>
        <w:ind w:firstLine="573"/>
        <w:rPr>
          <w:rFonts w:hint="eastAsia" w:ascii="方正仿宋_GBK" w:hAnsi="方正仿宋_GBK" w:eastAsia="方正仿宋_GBK" w:cs="方正仿宋_GBK"/>
          <w:color w:val="000000" w:themeColor="text1"/>
          <w:sz w:val="24"/>
          <w:szCs w:val="24"/>
          <w:lang w:eastAsia="zh-CN"/>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甲方依对应保险方案投保人数计费缴纳保费，合计保费：</w:t>
      </w:r>
      <w:r>
        <w:rPr>
          <w:rFonts w:hint="eastAsia" w:ascii="方正仿宋_GBK" w:hAnsi="方正仿宋_GBK" w:cs="方正仿宋_GBK"/>
          <w:color w:val="000000" w:themeColor="text1"/>
          <w:sz w:val="24"/>
          <w:szCs w:val="24"/>
          <w14:textFill>
            <w14:solidFill>
              <w14:schemeClr w14:val="tx1"/>
            </w14:solidFill>
          </w14:textFill>
        </w:rPr>
        <w:t>xxx</w:t>
      </w:r>
      <w:r>
        <w:rPr>
          <w:rFonts w:hint="eastAsia" w:ascii="方正仿宋_GBK" w:hAnsi="方正仿宋_GBK" w:eastAsia="方正仿宋_GBK" w:cs="方正仿宋_GBK"/>
          <w:color w:val="000000" w:themeColor="text1"/>
          <w:sz w:val="24"/>
          <w:szCs w:val="24"/>
          <w14:textFill>
            <w14:solidFill>
              <w14:schemeClr w14:val="tx1"/>
            </w14:solidFill>
          </w14:textFill>
        </w:rPr>
        <w:t>元（大写：</w:t>
      </w:r>
      <w:r>
        <w:rPr>
          <w:rFonts w:hint="eastAsia" w:ascii="方正仿宋_GBK" w:hAnsi="方正仿宋_GBK" w:cs="方正仿宋_GBK"/>
          <w:color w:val="000000" w:themeColor="text1"/>
          <w:sz w:val="24"/>
          <w:szCs w:val="24"/>
          <w14:textFill>
            <w14:solidFill>
              <w14:schemeClr w14:val="tx1"/>
            </w14:solidFill>
          </w14:textFill>
        </w:rPr>
        <w:t>xxx元整</w:t>
      </w:r>
      <w:r>
        <w:rPr>
          <w:rFonts w:hint="eastAsia" w:ascii="方正仿宋_GBK" w:hAnsi="方正仿宋_GBK" w:eastAsia="方正仿宋_GBK" w:cs="方正仿宋_GBK"/>
          <w:color w:val="000000" w:themeColor="text1"/>
          <w:sz w:val="24"/>
          <w:szCs w:val="24"/>
          <w14:textFill>
            <w14:solidFill>
              <w14:schemeClr w14:val="tx1"/>
            </w14:solidFill>
          </w14:textFill>
        </w:rPr>
        <w:t>），甲方或被保险单位应当在收到乙方开具全额增值税发票后十五个工作日内将全额保险费一次性划缴至乙方以下账户。乙方指定收款账户信息如下，若乙方改变收款账户信息需提前书面通知并送达甲方，否则因乙方疏忽造成的财产损失，甲方不承担任何责任，但乙方仍应按合同约定履行义务</w:t>
      </w:r>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w:t>
      </w:r>
    </w:p>
    <w:p>
      <w:pPr>
        <w:spacing w:line="480" w:lineRule="exact"/>
        <w:ind w:firstLine="573"/>
        <w:rPr>
          <w:rFonts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保费缴至收款人：</w:t>
      </w:r>
      <w:r>
        <w:rPr>
          <w:rFonts w:hint="eastAsia" w:ascii="方正仿宋_GBK" w:hAnsi="方正仿宋_GBK" w:cs="方正仿宋_GBK"/>
          <w:color w:val="000000" w:themeColor="text1"/>
          <w:sz w:val="24"/>
          <w:szCs w:val="24"/>
          <w14:textFill>
            <w14:solidFill>
              <w14:schemeClr w14:val="tx1"/>
            </w14:solidFill>
          </w14:textFill>
        </w:rPr>
        <w:t>xxxx</w:t>
      </w:r>
      <w:r>
        <w:rPr>
          <w:rFonts w:hint="eastAsia" w:ascii="方正仿宋_GBK" w:hAnsi="方正仿宋_GBK" w:eastAsia="方正仿宋_GBK" w:cs="方正仿宋_GBK"/>
          <w:color w:val="000000" w:themeColor="text1"/>
          <w:sz w:val="24"/>
          <w:szCs w:val="24"/>
          <w14:textFill>
            <w14:solidFill>
              <w14:schemeClr w14:val="tx1"/>
            </w14:solidFill>
          </w14:textFill>
        </w:rPr>
        <w:t>公司</w:t>
      </w:r>
    </w:p>
    <w:p>
      <w:pPr>
        <w:spacing w:line="480" w:lineRule="exact"/>
        <w:ind w:firstLine="573"/>
        <w:rPr>
          <w:rFonts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开    户    行：</w:t>
      </w:r>
      <w:r>
        <w:rPr>
          <w:rFonts w:hint="eastAsia" w:ascii="方正仿宋_GBK" w:hAnsi="方正仿宋_GBK" w:cs="方正仿宋_GBK"/>
          <w:color w:val="000000" w:themeColor="text1"/>
          <w:sz w:val="24"/>
          <w:szCs w:val="24"/>
          <w14:textFill>
            <w14:solidFill>
              <w14:schemeClr w14:val="tx1"/>
            </w14:solidFill>
          </w14:textFill>
        </w:rPr>
        <w:t>xxx</w:t>
      </w:r>
    </w:p>
    <w:p>
      <w:pPr>
        <w:spacing w:line="480" w:lineRule="exact"/>
        <w:ind w:firstLine="573"/>
        <w:rPr>
          <w:rFonts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账          号：</w:t>
      </w:r>
      <w:r>
        <w:rPr>
          <w:rFonts w:hint="eastAsia" w:ascii="方正仿宋_GBK" w:hAnsi="方正仿宋_GBK" w:cs="方正仿宋_GBK"/>
          <w:color w:val="000000" w:themeColor="text1"/>
          <w:sz w:val="24"/>
          <w:szCs w:val="24"/>
          <w14:textFill>
            <w14:solidFill>
              <w14:schemeClr w14:val="tx1"/>
            </w14:solidFill>
          </w14:textFill>
        </w:rPr>
        <w:t>xxx</w:t>
      </w:r>
    </w:p>
    <w:p>
      <w:pPr>
        <w:pStyle w:val="3"/>
        <w:numPr>
          <w:ilvl w:val="0"/>
          <w:numId w:val="3"/>
        </w:numPr>
        <w:spacing w:line="360" w:lineRule="auto"/>
        <w:jc w:val="center"/>
        <w:rPr>
          <w:rFonts w:ascii="方正小标宋_GBK" w:hAnsi="方正小标宋_GBK" w:eastAsia="方正小标宋_GBK" w:cs="方正小标宋_GBK"/>
          <w:color w:val="000000" w:themeColor="text1"/>
          <w:sz w:val="28"/>
          <w:szCs w:val="28"/>
          <w14:textFill>
            <w14:solidFill>
              <w14:schemeClr w14:val="tx1"/>
            </w14:solidFill>
          </w14:textFill>
        </w:rPr>
      </w:pPr>
      <w:bookmarkStart w:id="207" w:name="_Toc29522"/>
      <w:r>
        <w:rPr>
          <w:rFonts w:hint="eastAsia" w:ascii="方正小标宋_GBK" w:hAnsi="方正小标宋_GBK" w:eastAsia="方正小标宋_GBK" w:cs="方正小标宋_GBK"/>
          <w:color w:val="000000" w:themeColor="text1"/>
          <w:sz w:val="28"/>
          <w:szCs w:val="28"/>
          <w14:textFill>
            <w14:solidFill>
              <w14:schemeClr w14:val="tx1"/>
            </w14:solidFill>
          </w14:textFill>
        </w:rPr>
        <w:t>保全服务事项</w:t>
      </w:r>
      <w:bookmarkEnd w:id="207"/>
    </w:p>
    <w:p>
      <w:pPr>
        <w:spacing w:line="480" w:lineRule="exact"/>
        <w:ind w:firstLine="573"/>
        <w:rPr>
          <w:rFonts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7.1 人员加保：甲方因在职人员变动而需要增加被保险人的，须以书面或网厅形式向乙方提出申请，申请资料包括甲方加保人员名单（根据核保要求提供）。乙方对甲方所提交资料进行审核，并按新增人员短期收费标准计收受保期保险费，加保人员保险期间自甲方申请次日零时起至本协议期满日止。</w:t>
      </w:r>
    </w:p>
    <w:p>
      <w:pPr>
        <w:spacing w:line="480" w:lineRule="exact"/>
        <w:ind w:firstLine="573"/>
        <w:rPr>
          <w:rFonts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7.2人员减保：甲方因员工中途离职而需要减少被保险人的，须以书面或网厅形式向乙方提出申请。乙方对离职被保险人所负的保险责任自该被保险人申请日二十四时即行终止。若离职被保险人已发生过保险金给付，乙方不退还其已发生理赔险种所缴保险费；若离职被保险人未发生过保险金给付，乙方在扣除手续费后退还其未满期保险费。</w:t>
      </w:r>
    </w:p>
    <w:p>
      <w:pPr>
        <w:spacing w:line="480" w:lineRule="exact"/>
        <w:ind w:firstLine="573"/>
        <w:rPr>
          <w:rFonts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7.3 加、减保计算方式：</w:t>
      </w:r>
    </w:p>
    <w:p>
      <w:pPr>
        <w:spacing w:line="480" w:lineRule="exact"/>
        <w:ind w:firstLine="573"/>
        <w:rPr>
          <w:rFonts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① 加保保费＝年保费*经过天数/保险期间天数</w:t>
      </w:r>
    </w:p>
    <w:p>
      <w:pPr>
        <w:spacing w:line="480" w:lineRule="exact"/>
        <w:ind w:firstLine="573"/>
        <w:rPr>
          <w:rFonts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② 退保金（未满期保险费）＝年保费*未经过天数/保险期间天数</w:t>
      </w:r>
    </w:p>
    <w:p>
      <w:pPr>
        <w:pStyle w:val="3"/>
        <w:numPr>
          <w:ilvl w:val="0"/>
          <w:numId w:val="3"/>
        </w:numPr>
        <w:spacing w:line="360" w:lineRule="auto"/>
        <w:jc w:val="center"/>
        <w:rPr>
          <w:rFonts w:ascii="方正小标宋_GBK" w:hAnsi="方正小标宋_GBK" w:eastAsia="方正小标宋_GBK" w:cs="方正小标宋_GBK"/>
          <w:color w:val="000000" w:themeColor="text1"/>
          <w:sz w:val="28"/>
          <w:szCs w:val="28"/>
          <w14:textFill>
            <w14:solidFill>
              <w14:schemeClr w14:val="tx1"/>
            </w14:solidFill>
          </w14:textFill>
        </w:rPr>
      </w:pPr>
      <w:bookmarkStart w:id="208" w:name="_Toc415063754"/>
      <w:bookmarkEnd w:id="208"/>
      <w:bookmarkStart w:id="209" w:name="_Toc415064309"/>
      <w:bookmarkEnd w:id="209"/>
      <w:bookmarkStart w:id="210" w:name="_Toc415063939"/>
      <w:bookmarkEnd w:id="210"/>
      <w:bookmarkStart w:id="211" w:name="_Toc415064124"/>
      <w:bookmarkEnd w:id="211"/>
      <w:bookmarkStart w:id="212" w:name="_Toc30638"/>
      <w:r>
        <w:rPr>
          <w:rFonts w:hint="eastAsia" w:ascii="方正小标宋_GBK" w:hAnsi="方正小标宋_GBK" w:eastAsia="方正小标宋_GBK" w:cs="方正小标宋_GBK"/>
          <w:color w:val="000000" w:themeColor="text1"/>
          <w:sz w:val="28"/>
          <w:szCs w:val="28"/>
          <w14:textFill>
            <w14:solidFill>
              <w14:schemeClr w14:val="tx1"/>
            </w14:solidFill>
          </w14:textFill>
        </w:rPr>
        <w:t>理赔服务事项</w:t>
      </w:r>
      <w:bookmarkEnd w:id="212"/>
    </w:p>
    <w:p>
      <w:pPr>
        <w:spacing w:line="480" w:lineRule="exact"/>
        <w:ind w:firstLine="573"/>
        <w:rPr>
          <w:rFonts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8.1报案（出险通知）</w:t>
      </w:r>
    </w:p>
    <w:p>
      <w:pPr>
        <w:spacing w:line="480" w:lineRule="exact"/>
        <w:ind w:firstLine="573"/>
        <w:rPr>
          <w:rFonts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一旦保险事故发生，甲方、被保险人或者受益人应当在知道或应当知道事故发生之日起48小时内向乙方报案，及时将该事故发生的时间、地点、原因及其它有关情况通知保险公司，并向其他相关部门（公安、消防等）报案。报案方式为电话报案：拨打乙方全国客户服务热线。</w:t>
      </w:r>
    </w:p>
    <w:p>
      <w:pPr>
        <w:spacing w:line="480" w:lineRule="exact"/>
        <w:ind w:firstLine="573"/>
        <w:rPr>
          <w:rFonts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8.2理赔时效</w:t>
      </w:r>
    </w:p>
    <w:tbl>
      <w:tblPr>
        <w:tblStyle w:val="20"/>
        <w:tblpPr w:leftFromText="180" w:rightFromText="180" w:vertAnchor="text" w:horzAnchor="page" w:tblpX="1782" w:tblpY="116"/>
        <w:tblOverlap w:val="never"/>
        <w:tblW w:w="85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50"/>
        <w:gridCol w:w="4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4150" w:type="dxa"/>
            <w:shd w:val="clear" w:color="auto" w:fill="B8CCE4"/>
            <w:vAlign w:val="center"/>
          </w:tcPr>
          <w:p>
            <w:pPr>
              <w:spacing w:line="480" w:lineRule="exact"/>
              <w:ind w:firstLine="573"/>
              <w:rPr>
                <w:rFonts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索赔金额</w:t>
            </w:r>
          </w:p>
        </w:tc>
        <w:tc>
          <w:tcPr>
            <w:tcW w:w="4440" w:type="dxa"/>
            <w:shd w:val="clear" w:color="auto" w:fill="B8CCE4"/>
            <w:vAlign w:val="center"/>
          </w:tcPr>
          <w:p>
            <w:pPr>
              <w:spacing w:line="480" w:lineRule="exact"/>
              <w:ind w:firstLine="573"/>
              <w:rPr>
                <w:rFonts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理赔时限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4150" w:type="dxa"/>
            <w:vAlign w:val="center"/>
          </w:tcPr>
          <w:p>
            <w:pPr>
              <w:spacing w:line="480" w:lineRule="exact"/>
              <w:ind w:firstLine="573"/>
              <w:rPr>
                <w:rFonts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元以下赔款</w:t>
            </w:r>
          </w:p>
        </w:tc>
        <w:tc>
          <w:tcPr>
            <w:tcW w:w="4440" w:type="dxa"/>
            <w:vAlign w:val="center"/>
          </w:tcPr>
          <w:p>
            <w:pPr>
              <w:spacing w:line="480" w:lineRule="exact"/>
              <w:ind w:firstLine="573"/>
              <w:rPr>
                <w:rFonts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个工作日内结案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4150" w:type="dxa"/>
            <w:vAlign w:val="center"/>
          </w:tcPr>
          <w:p>
            <w:pPr>
              <w:spacing w:line="480" w:lineRule="exact"/>
              <w:ind w:firstLine="573"/>
              <w:rPr>
                <w:rFonts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元以上赔款</w:t>
            </w:r>
          </w:p>
        </w:tc>
        <w:tc>
          <w:tcPr>
            <w:tcW w:w="4440" w:type="dxa"/>
            <w:vAlign w:val="center"/>
          </w:tcPr>
          <w:p>
            <w:pPr>
              <w:spacing w:line="480" w:lineRule="exact"/>
              <w:ind w:firstLine="573"/>
              <w:rPr>
                <w:rFonts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个工作日内结案</w:t>
            </w:r>
          </w:p>
        </w:tc>
      </w:tr>
    </w:tbl>
    <w:p>
      <w:pPr>
        <w:spacing w:line="480" w:lineRule="exact"/>
        <w:ind w:firstLine="573"/>
        <w:rPr>
          <w:rFonts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对属于保险责任的，正常案件自甲方收集齐全索赔资料交乙方并向乙方提出申请之日起，乙方视案件及索赔金额的大小在承诺的工作日内结案（节假日顺延）：</w:t>
      </w:r>
    </w:p>
    <w:p>
      <w:pPr>
        <w:spacing w:line="480" w:lineRule="exact"/>
        <w:ind w:firstLine="573"/>
        <w:rPr>
          <w:rFonts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如需调查的案件或有疑问的案件，视调查情况而定，暂定为一个月结案。</w:t>
      </w:r>
    </w:p>
    <w:p>
      <w:pPr>
        <w:spacing w:line="480" w:lineRule="exact"/>
        <w:ind w:firstLine="573"/>
        <w:rPr>
          <w:rFonts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8.3 理赔资料的提供</w:t>
      </w:r>
    </w:p>
    <w:p>
      <w:pPr>
        <w:spacing w:line="480" w:lineRule="exact"/>
        <w:ind w:firstLine="573"/>
        <w:rPr>
          <w:rFonts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1.所有意外事故均需要提供意外事故证明（请于申请书的“保险事故经过”栏详述）；</w:t>
      </w:r>
    </w:p>
    <w:p>
      <w:pPr>
        <w:spacing w:line="480" w:lineRule="exact"/>
        <w:ind w:firstLine="573"/>
        <w:rPr>
          <w:rFonts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2.所有已报公安/交警/劳动/卫生部门处理的事故需要提供相关部门的处理材料；若为交通事故，还需提供被保险人驾驶证和行驶证；</w:t>
      </w:r>
    </w:p>
    <w:p>
      <w:pPr>
        <w:spacing w:line="480" w:lineRule="exact"/>
        <w:ind w:firstLine="573"/>
        <w:rPr>
          <w:rFonts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3.被保险人开户行账户名，账号，开户行明细。</w:t>
      </w:r>
    </w:p>
    <w:p>
      <w:pPr>
        <w:spacing w:line="480" w:lineRule="exact"/>
        <w:ind w:firstLine="573"/>
        <w:rPr>
          <w:rFonts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4.身故保险以及在被保险人身故后提交的所有其他类型保险均需提供所有受益人身份证明、与被保险人的关系证明及所有受益人账号信息。必要时将会要求提供公证书；</w:t>
      </w:r>
    </w:p>
    <w:p>
      <w:pPr>
        <w:spacing w:line="480" w:lineRule="exact"/>
        <w:ind w:firstLine="573"/>
        <w:rPr>
          <w:rFonts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5.协议约定的其他材料；</w:t>
      </w:r>
    </w:p>
    <w:p>
      <w:pPr>
        <w:spacing w:line="480" w:lineRule="exact"/>
        <w:ind w:firstLine="573"/>
        <w:rPr>
          <w:rFonts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其他理赔申请必备基本资料如下：</w:t>
      </w:r>
    </w:p>
    <w:tbl>
      <w:tblPr>
        <w:tblStyle w:val="20"/>
        <w:tblW w:w="8295" w:type="dxa"/>
        <w:tblInd w:w="241" w:type="dxa"/>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fixed"/>
        <w:tblCellMar>
          <w:top w:w="0" w:type="dxa"/>
          <w:left w:w="108" w:type="dxa"/>
          <w:bottom w:w="0" w:type="dxa"/>
          <w:right w:w="108" w:type="dxa"/>
        </w:tblCellMar>
      </w:tblPr>
      <w:tblGrid>
        <w:gridCol w:w="8295"/>
      </w:tblGrid>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424" w:hRule="exact"/>
        </w:trPr>
        <w:tc>
          <w:tcPr>
            <w:tcW w:w="8295" w:type="dxa"/>
            <w:vAlign w:val="center"/>
          </w:tcPr>
          <w:p>
            <w:pPr>
              <w:spacing w:line="400" w:lineRule="exac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（1）被保险人身份证明（身份证、护照、户口簿等复印件）</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534" w:hRule="exact"/>
        </w:trPr>
        <w:tc>
          <w:tcPr>
            <w:tcW w:w="8295" w:type="dxa"/>
            <w:vAlign w:val="center"/>
          </w:tcPr>
          <w:p>
            <w:pPr>
              <w:spacing w:line="400" w:lineRule="exac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（2）被保险人医疗费用发票、社保结算单及费用明细清单原件</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471" w:hRule="exact"/>
        </w:trPr>
        <w:tc>
          <w:tcPr>
            <w:tcW w:w="8295" w:type="dxa"/>
            <w:vAlign w:val="center"/>
          </w:tcPr>
          <w:p>
            <w:pPr>
              <w:spacing w:line="400" w:lineRule="exac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（3）被保险人医疗费用发票及费用明细清单复印件</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440" w:hRule="exact"/>
        </w:trPr>
        <w:tc>
          <w:tcPr>
            <w:tcW w:w="8295" w:type="dxa"/>
            <w:vAlign w:val="center"/>
          </w:tcPr>
          <w:p>
            <w:pPr>
              <w:spacing w:line="400" w:lineRule="exac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（4）被保险人门诊病历及/或住院病案一套</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PrEx>
        <w:trPr>
          <w:trHeight w:val="503" w:hRule="exact"/>
        </w:trPr>
        <w:tc>
          <w:tcPr>
            <w:tcW w:w="8295" w:type="dxa"/>
            <w:vAlign w:val="center"/>
          </w:tcPr>
          <w:p>
            <w:pPr>
              <w:spacing w:line="400" w:lineRule="exac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（5）被保险人病理、影像、血液或淋巴检验报告复印件</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445" w:hRule="exact"/>
        </w:trPr>
        <w:tc>
          <w:tcPr>
            <w:tcW w:w="8295" w:type="dxa"/>
            <w:vAlign w:val="center"/>
          </w:tcPr>
          <w:p>
            <w:pPr>
              <w:spacing w:line="400" w:lineRule="exac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（6）被保险人残疾程度鉴定书</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471" w:hRule="exact"/>
        </w:trPr>
        <w:tc>
          <w:tcPr>
            <w:tcW w:w="8295" w:type="dxa"/>
            <w:vAlign w:val="center"/>
          </w:tcPr>
          <w:p>
            <w:pPr>
              <w:spacing w:line="400" w:lineRule="exac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（7）被保险人死亡三证复印件（死亡证明书、户籍注销证明、火化证明）</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471" w:hRule="exact"/>
        </w:trPr>
        <w:tc>
          <w:tcPr>
            <w:tcW w:w="8295" w:type="dxa"/>
            <w:vAlign w:val="center"/>
          </w:tcPr>
          <w:p>
            <w:pPr>
              <w:spacing w:line="400" w:lineRule="exac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（8）保险合同复印件</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471" w:hRule="exact"/>
        </w:trPr>
        <w:tc>
          <w:tcPr>
            <w:tcW w:w="8295" w:type="dxa"/>
            <w:vAlign w:val="center"/>
          </w:tcPr>
          <w:p>
            <w:pPr>
              <w:spacing w:line="400" w:lineRule="exac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（9）理赔申请书</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PrEx>
        <w:trPr>
          <w:trHeight w:val="475" w:hRule="exact"/>
        </w:trPr>
        <w:tc>
          <w:tcPr>
            <w:tcW w:w="8295" w:type="dxa"/>
            <w:vAlign w:val="center"/>
          </w:tcPr>
          <w:p>
            <w:pPr>
              <w:spacing w:line="400" w:lineRule="exac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□身故保险：       （1）  （4） （7） （8） （9）</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450" w:hRule="exact"/>
        </w:trPr>
        <w:tc>
          <w:tcPr>
            <w:tcW w:w="8295" w:type="dxa"/>
            <w:vAlign w:val="center"/>
          </w:tcPr>
          <w:p>
            <w:pPr>
              <w:spacing w:line="400" w:lineRule="exac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□残疾保险：       （1）  （4） （6） （8） （9）</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424" w:hRule="exact"/>
        </w:trPr>
        <w:tc>
          <w:tcPr>
            <w:tcW w:w="8295" w:type="dxa"/>
            <w:vAlign w:val="center"/>
          </w:tcPr>
          <w:p>
            <w:pPr>
              <w:spacing w:line="400" w:lineRule="exac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□重大疾病保险：   （1）  （4） （5） （8） （9）</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455" w:hRule="exact"/>
        </w:trPr>
        <w:tc>
          <w:tcPr>
            <w:tcW w:w="8295" w:type="dxa"/>
            <w:vAlign w:val="center"/>
          </w:tcPr>
          <w:p>
            <w:pPr>
              <w:spacing w:line="400" w:lineRule="exac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□住院津贴保险：   （1）  （3） （4） （8） （9）</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431" w:hRule="exact"/>
        </w:trPr>
        <w:tc>
          <w:tcPr>
            <w:tcW w:w="8295" w:type="dxa"/>
            <w:vAlign w:val="center"/>
          </w:tcPr>
          <w:p>
            <w:pPr>
              <w:spacing w:line="400" w:lineRule="exact"/>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□医疗费用报销：   （1）  （2） （4） （8） （9）</w:t>
            </w:r>
          </w:p>
        </w:tc>
      </w:tr>
    </w:tbl>
    <w:p>
      <w:pPr>
        <w:rPr>
          <w:rFonts w:ascii="宋体" w:hAnsi="宋体" w:cs="宋体"/>
          <w:color w:val="000000" w:themeColor="text1"/>
          <w:szCs w:val="21"/>
          <w14:textFill>
            <w14:solidFill>
              <w14:schemeClr w14:val="tx1"/>
            </w14:solidFill>
          </w14:textFill>
        </w:rPr>
      </w:pPr>
    </w:p>
    <w:bookmarkEnd w:id="23"/>
    <w:p>
      <w:pPr>
        <w:pStyle w:val="3"/>
        <w:numPr>
          <w:ilvl w:val="0"/>
          <w:numId w:val="3"/>
        </w:numPr>
        <w:spacing w:line="360" w:lineRule="auto"/>
        <w:jc w:val="center"/>
        <w:rPr>
          <w:rFonts w:ascii="方正小标宋_GBK" w:hAnsi="方正小标宋_GBK" w:eastAsia="方正小标宋_GBK" w:cs="方正小标宋_GBK"/>
          <w:color w:val="000000" w:themeColor="text1"/>
          <w:sz w:val="28"/>
          <w:szCs w:val="28"/>
          <w14:textFill>
            <w14:solidFill>
              <w14:schemeClr w14:val="tx1"/>
            </w14:solidFill>
          </w14:textFill>
        </w:rPr>
      </w:pPr>
      <w:bookmarkStart w:id="213" w:name="_Toc141873844"/>
      <w:bookmarkStart w:id="214" w:name="_Toc407"/>
      <w:r>
        <w:rPr>
          <w:rFonts w:hint="eastAsia" w:ascii="方正小标宋_GBK" w:hAnsi="方正小标宋_GBK" w:eastAsia="方正小标宋_GBK" w:cs="方正小标宋_GBK"/>
          <w:color w:val="000000" w:themeColor="text1"/>
          <w:sz w:val="28"/>
          <w:szCs w:val="28"/>
          <w14:textFill>
            <w14:solidFill>
              <w14:schemeClr w14:val="tx1"/>
            </w14:solidFill>
          </w14:textFill>
        </w:rPr>
        <w:t>保险金支付注意事项</w:t>
      </w:r>
      <w:bookmarkEnd w:id="213"/>
      <w:bookmarkEnd w:id="214"/>
    </w:p>
    <w:p>
      <w:pPr>
        <w:spacing w:line="480" w:lineRule="exact"/>
        <w:ind w:firstLine="573"/>
        <w:rPr>
          <w:rFonts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 xml:space="preserve">9.1 </w:t>
      </w:r>
      <w:bookmarkStart w:id="215" w:name="_Toc141873845"/>
      <w:r>
        <w:rPr>
          <w:rFonts w:hint="eastAsia" w:ascii="方正仿宋_GBK" w:hAnsi="方正仿宋_GBK" w:eastAsia="方正仿宋_GBK" w:cs="方正仿宋_GBK"/>
          <w:color w:val="000000" w:themeColor="text1"/>
          <w:sz w:val="24"/>
          <w:szCs w:val="24"/>
          <w14:textFill>
            <w14:solidFill>
              <w14:schemeClr w14:val="tx1"/>
            </w14:solidFill>
          </w14:textFill>
        </w:rPr>
        <w:t>乙方对保险金或生存金给付通过银行转账方式支付，投保人需事先向乙方提供投保人员清单及开户银行、银行账号、账户所有人、账号所属省份、账号所属城市、账号所属网点等相关银行账户信息，此信息需同投保人数清单盖章一并提交。</w:t>
      </w:r>
    </w:p>
    <w:p>
      <w:pPr>
        <w:spacing w:line="480" w:lineRule="exact"/>
        <w:ind w:firstLine="573"/>
        <w:rPr>
          <w:rFonts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9.2若被保险人的账号信息发生变更，需提供被保险人的新账号信息，填写保全变更申请书，加盖单位公章后交由乙方办理。</w:t>
      </w:r>
    </w:p>
    <w:p>
      <w:pPr>
        <w:spacing w:line="480" w:lineRule="exact"/>
        <w:ind w:firstLine="573"/>
        <w:rPr>
          <w:rFonts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9.3 对因提供错误的银行账号等信息所引起的相关责任，乙方将不予承担。</w:t>
      </w:r>
    </w:p>
    <w:p>
      <w:pPr>
        <w:pStyle w:val="3"/>
        <w:numPr>
          <w:ilvl w:val="0"/>
          <w:numId w:val="3"/>
        </w:numPr>
        <w:spacing w:line="360" w:lineRule="auto"/>
        <w:jc w:val="center"/>
        <w:rPr>
          <w:rFonts w:ascii="方正小标宋_GBK" w:hAnsi="方正小标宋_GBK" w:eastAsia="方正小标宋_GBK" w:cs="方正小标宋_GBK"/>
          <w:color w:val="000000" w:themeColor="text1"/>
          <w:sz w:val="28"/>
          <w:szCs w:val="28"/>
          <w14:textFill>
            <w14:solidFill>
              <w14:schemeClr w14:val="tx1"/>
            </w14:solidFill>
          </w14:textFill>
        </w:rPr>
      </w:pPr>
      <w:bookmarkStart w:id="216" w:name="_Toc3855"/>
      <w:r>
        <w:rPr>
          <w:rFonts w:hint="eastAsia" w:ascii="方正小标宋_GBK" w:hAnsi="方正小标宋_GBK" w:eastAsia="方正小标宋_GBK" w:cs="方正小标宋_GBK"/>
          <w:color w:val="000000" w:themeColor="text1"/>
          <w:sz w:val="28"/>
          <w:szCs w:val="28"/>
          <w14:textFill>
            <w14:solidFill>
              <w14:schemeClr w14:val="tx1"/>
            </w14:solidFill>
          </w14:textFill>
        </w:rPr>
        <w:t>如实告知</w:t>
      </w:r>
      <w:bookmarkEnd w:id="215"/>
      <w:bookmarkEnd w:id="216"/>
    </w:p>
    <w:p>
      <w:pPr>
        <w:spacing w:line="480" w:lineRule="exact"/>
        <w:ind w:firstLine="573"/>
        <w:rPr>
          <w:rFonts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10.1订立本协议时，乙方应向投保人明确说明本协议的条款内容，特别是责任免除条款，并可以就投保人和被保险人的有关情况提出书面询问，投保人、被保险人应当如实告知。</w:t>
      </w:r>
    </w:p>
    <w:p>
      <w:pPr>
        <w:spacing w:line="480" w:lineRule="exact"/>
        <w:ind w:firstLine="573"/>
        <w:rPr>
          <w:rFonts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10.2被保险人故意未履行如实告知义务，乙方有权对本协议之前发生的保险事故，不负给付保险金的责任；投保人因过失未履行如实告知义务，足以影响乙方决定是否同意承保或者提高保险费的，乙方有权解除本协议，在本协议解除前发生的保险事故，乙方不负给付保险金的责任，但退还未满期保险费。</w:t>
      </w:r>
    </w:p>
    <w:p>
      <w:pPr>
        <w:spacing w:line="480" w:lineRule="exact"/>
        <w:ind w:firstLine="573"/>
        <w:rPr>
          <w:rFonts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10.3乙方在合同订立时已经知道投保人未如实告知的情况的，乙方不得解除合同；发生保险事故的，乙方承担给付保险金的责任。</w:t>
      </w:r>
    </w:p>
    <w:p>
      <w:pPr>
        <w:spacing w:line="480" w:lineRule="exact"/>
        <w:ind w:firstLine="573"/>
        <w:rPr>
          <w:rFonts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10.4 本条规定的合同解除权，自乙方知道有解除事由之日起，超过30日不行使而消灭。</w:t>
      </w:r>
    </w:p>
    <w:p>
      <w:pPr>
        <w:spacing w:line="480" w:lineRule="exact"/>
        <w:ind w:firstLine="573"/>
        <w:rPr>
          <w:rFonts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10.5 投保人确认，在订立本协议前，乙方已经向投保人和被保险人逐条明确说明本协议的条款内容和本协议项下相关保险条款的内容（特别是涉及乙方责任免除的条款），并且对相关内容的含义进行了解释；投保人和被保险人确认在乙方告知及解释后已经了解了本协议条款以及相关保险条款的内容，且对条款内容无异议、无疑义。</w:t>
      </w:r>
    </w:p>
    <w:p>
      <w:pPr>
        <w:pStyle w:val="3"/>
        <w:numPr>
          <w:ilvl w:val="0"/>
          <w:numId w:val="3"/>
        </w:numPr>
        <w:spacing w:line="360" w:lineRule="auto"/>
        <w:jc w:val="center"/>
        <w:rPr>
          <w:rFonts w:ascii="方正小标宋_GBK" w:hAnsi="方正小标宋_GBK" w:eastAsia="方正小标宋_GBK" w:cs="方正小标宋_GBK"/>
          <w:color w:val="000000" w:themeColor="text1"/>
          <w:sz w:val="28"/>
          <w:szCs w:val="28"/>
          <w14:textFill>
            <w14:solidFill>
              <w14:schemeClr w14:val="tx1"/>
            </w14:solidFill>
          </w14:textFill>
        </w:rPr>
      </w:pPr>
      <w:bookmarkStart w:id="217" w:name="_Toc415064313"/>
      <w:bookmarkEnd w:id="217"/>
      <w:bookmarkStart w:id="218" w:name="_Toc415064128"/>
      <w:bookmarkEnd w:id="218"/>
      <w:bookmarkStart w:id="219" w:name="_Toc415063943"/>
      <w:bookmarkEnd w:id="219"/>
      <w:bookmarkStart w:id="220" w:name="_Toc415063758"/>
      <w:bookmarkEnd w:id="220"/>
      <w:bookmarkStart w:id="221" w:name="_Toc141873847"/>
      <w:bookmarkStart w:id="222" w:name="_Toc21624"/>
      <w:r>
        <w:rPr>
          <w:rFonts w:hint="eastAsia" w:ascii="方正小标宋_GBK" w:hAnsi="方正小标宋_GBK" w:eastAsia="方正小标宋_GBK" w:cs="方正小标宋_GBK"/>
          <w:color w:val="000000" w:themeColor="text1"/>
          <w:sz w:val="28"/>
          <w:szCs w:val="28"/>
          <w14:textFill>
            <w14:solidFill>
              <w14:schemeClr w14:val="tx1"/>
            </w14:solidFill>
          </w14:textFill>
        </w:rPr>
        <w:t>释义</w:t>
      </w:r>
      <w:bookmarkEnd w:id="221"/>
      <w:bookmarkEnd w:id="222"/>
    </w:p>
    <w:p>
      <w:pPr>
        <w:spacing w:line="480" w:lineRule="exact"/>
        <w:ind w:firstLine="573"/>
        <w:rPr>
          <w:rFonts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〖同一次门急诊〗：指同一被保险人在一日（0时起至24时止）内在同一所医院同一个科室就诊的门急诊。</w:t>
      </w:r>
    </w:p>
    <w:p>
      <w:pPr>
        <w:spacing w:line="480" w:lineRule="exact"/>
        <w:ind w:firstLine="573"/>
        <w:rPr>
          <w:rFonts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〖同一次住院〗：同一被保险人因同一疾病或意外伤害及由此引起的并发症在同一所医院内住院，必须住院治疗两次以上时，若每次出院日期与再入院日期间隔未超过90日，乙方视为一次住院。</w:t>
      </w:r>
    </w:p>
    <w:p>
      <w:pPr>
        <w:spacing w:line="480" w:lineRule="exact"/>
        <w:ind w:firstLine="573"/>
        <w:rPr>
          <w:rFonts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〖门急诊医疗费用〗：指治疗疾病或损伤而发生的合理且必要的门诊医疗费用，包括药费、治疗费、检查检验费、材料费和门诊手术费等费用。除本协议另有约定外，按当地基本医疗保险规定的标准执行。</w:t>
      </w:r>
    </w:p>
    <w:p>
      <w:pPr>
        <w:spacing w:line="480" w:lineRule="exact"/>
        <w:ind w:firstLine="573"/>
        <w:rPr>
          <w:rFonts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〖住院医疗费用〗：指治疗疾病或损伤而发生的合理且必要的住院医疗费用，包括药费、治疗费、检查检验费、特殊检查治疗费等费用。除本协议另有约定外，按当地基本医疗保险规定的标准执行。</w:t>
      </w:r>
    </w:p>
    <w:p>
      <w:pPr>
        <w:spacing w:line="480" w:lineRule="exact"/>
        <w:ind w:firstLine="573"/>
        <w:rPr>
          <w:rFonts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〖药费〗：指符合当地基本医疗保险药品目录用药范围内的中、西药费用。</w:t>
      </w:r>
    </w:p>
    <w:p>
      <w:pPr>
        <w:spacing w:line="480" w:lineRule="exact"/>
        <w:ind w:firstLine="573"/>
        <w:rPr>
          <w:rFonts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〖治疗费〗：指以治疗疾病为目的，提供医学手段而发生的治疗者的技术劳务费和医疗器械使用费，以及消耗品的费用，包括注射费、机疗费、理疗费、输血费、输氧费、体外反搏费。</w:t>
      </w:r>
    </w:p>
    <w:p>
      <w:pPr>
        <w:spacing w:line="480" w:lineRule="exact"/>
        <w:ind w:firstLine="573"/>
        <w:rPr>
          <w:rFonts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〖检查检验费〗：指以诊断疾病为目的，采取必要的医学手段进行检查及检验而发生的医疗费用，包括X光费、心电图费、B超费、脑电图费、内窥镜费以及肺功能仪、血、尿、便常规检查和分子生化费。</w:t>
      </w:r>
    </w:p>
    <w:p>
      <w:pPr>
        <w:pStyle w:val="3"/>
        <w:numPr>
          <w:ilvl w:val="0"/>
          <w:numId w:val="3"/>
        </w:numPr>
        <w:spacing w:line="360" w:lineRule="auto"/>
        <w:jc w:val="center"/>
        <w:rPr>
          <w:rFonts w:ascii="方正小标宋_GBK" w:hAnsi="方正小标宋_GBK" w:eastAsia="方正小标宋_GBK" w:cs="方正小标宋_GBK"/>
          <w:color w:val="000000" w:themeColor="text1"/>
          <w:sz w:val="28"/>
          <w:szCs w:val="28"/>
          <w14:textFill>
            <w14:solidFill>
              <w14:schemeClr w14:val="tx1"/>
            </w14:solidFill>
          </w14:textFill>
        </w:rPr>
      </w:pPr>
      <w:bookmarkStart w:id="223" w:name="_Toc11388"/>
      <w:r>
        <w:rPr>
          <w:rFonts w:hint="eastAsia" w:ascii="方正小标宋_GBK" w:hAnsi="方正小标宋_GBK" w:eastAsia="方正小标宋_GBK" w:cs="方正小标宋_GBK"/>
          <w:color w:val="000000" w:themeColor="text1"/>
          <w:sz w:val="28"/>
          <w:szCs w:val="28"/>
          <w14:textFill>
            <w14:solidFill>
              <w14:schemeClr w14:val="tx1"/>
            </w14:solidFill>
          </w14:textFill>
        </w:rPr>
        <w:t>反商业贿赂条款</w:t>
      </w:r>
      <w:bookmarkEnd w:id="223"/>
    </w:p>
    <w:p>
      <w:pPr>
        <w:spacing w:line="480" w:lineRule="exact"/>
        <w:ind w:firstLine="573"/>
        <w:rPr>
          <w:rFonts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cs="方正仿宋_GBK"/>
          <w:color w:val="000000" w:themeColor="text1"/>
          <w:sz w:val="24"/>
          <w:szCs w:val="24"/>
          <w14:textFill>
            <w14:solidFill>
              <w14:schemeClr w14:val="tx1"/>
            </w14:solidFill>
          </w14:textFill>
        </w:rPr>
        <w:t>12</w:t>
      </w:r>
      <w:r>
        <w:rPr>
          <w:rFonts w:hint="eastAsia" w:ascii="方正仿宋_GBK" w:hAnsi="方正仿宋_GBK" w:eastAsia="方正仿宋_GBK" w:cs="方正仿宋_GBK"/>
          <w:color w:val="000000" w:themeColor="text1"/>
          <w:sz w:val="24"/>
          <w:szCs w:val="24"/>
          <w14:textFill>
            <w14:solidFill>
              <w14:schemeClr w14:val="tx1"/>
            </w14:solidFill>
          </w14:textFill>
        </w:rPr>
        <w:t>.1 反商业贿赂条款是本合同之必备附件，与本合同具有同等法律效力，合同各方同意签订并遵守如下反商业贿赂条款的各项约定：</w:t>
      </w:r>
    </w:p>
    <w:p>
      <w:pPr>
        <w:spacing w:line="480" w:lineRule="exact"/>
        <w:ind w:firstLine="573"/>
        <w:rPr>
          <w:rFonts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cs="方正仿宋_GBK"/>
          <w:color w:val="000000" w:themeColor="text1"/>
          <w:sz w:val="24"/>
          <w:szCs w:val="24"/>
          <w14:textFill>
            <w14:solidFill>
              <w14:schemeClr w14:val="tx1"/>
            </w14:solidFill>
          </w14:textFill>
        </w:rPr>
        <w:t>12</w:t>
      </w:r>
      <w:r>
        <w:rPr>
          <w:rFonts w:hint="eastAsia" w:ascii="方正仿宋_GBK" w:hAnsi="方正仿宋_GBK" w:eastAsia="方正仿宋_GBK" w:cs="方正仿宋_GBK"/>
          <w:color w:val="000000" w:themeColor="text1"/>
          <w:sz w:val="24"/>
          <w:szCs w:val="24"/>
          <w14:textFill>
            <w14:solidFill>
              <w14:schemeClr w14:val="tx1"/>
            </w14:solidFill>
          </w14:textFill>
        </w:rPr>
        <w:t>.2 合同各方都清楚并愿意严格遵守《刑法》、《反不正当竞争法》、《保险法》及国家工商行政管理总局《关于禁止商业贿赂行为的暂行规定》等我国关于反商业贿赂的有关法律法规，双方都清楚任何形式的贿赂行为都可能触犯法律，并受到法律的严惩。</w:t>
      </w:r>
    </w:p>
    <w:p>
      <w:pPr>
        <w:spacing w:line="480" w:lineRule="exact"/>
        <w:ind w:firstLine="573"/>
        <w:rPr>
          <w:rFonts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12.3 合同各方均不得向对方或对方人员或其他相关人员索要、收受、提供、给予合同约定外的任何利益，包括但不限于明扣、暗扣、现金、购物卡、实物、有价证券、旅游或其他非物质性利益等。</w:t>
      </w:r>
    </w:p>
    <w:p>
      <w:pPr>
        <w:spacing w:line="480" w:lineRule="exact"/>
        <w:ind w:firstLine="573"/>
        <w:rPr>
          <w:rFonts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12.4 合同各方严格禁止其人员的任何商业贿赂（包括行贿、受贿以及索贿）行为。在签订、履行本合同过程中及其后如有发生本条款第2条、第3条所列示的任何一种行为，合同任一方当事人及其工作人员均有义务举报。</w:t>
      </w:r>
    </w:p>
    <w:p>
      <w:pPr>
        <w:spacing w:line="480" w:lineRule="exact"/>
        <w:ind w:firstLine="573"/>
        <w:rPr>
          <w:rFonts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12.5 任一合同当事方违反本协议约定，为谋取直接或间接的商业利益（包括但不限于合作机会和合同利益）而向一方合同人员行贿的，视为该合同当事方违约。合同守约方有权解除本合同。有关人员的商业贿赂行为涉嫌犯罪的，掌握该行为线索的任何一方均可向国家有关部门检举，相关各方均应积极配合国家相关部门的处理工作。</w:t>
      </w:r>
    </w:p>
    <w:p>
      <w:pPr>
        <w:spacing w:line="480" w:lineRule="exact"/>
        <w:ind w:firstLine="573"/>
        <w:rPr>
          <w:rFonts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12.6 合同双方亦反对其他合同当事人及其人员为了本合同之目的，与本合同以外的任何第三方发生本条款第3条所列示的任何一种行为。</w:t>
      </w:r>
    </w:p>
    <w:p>
      <w:pPr>
        <w:autoSpaceDE w:val="0"/>
        <w:autoSpaceDN w:val="0"/>
        <w:adjustRightInd w:val="0"/>
        <w:spacing w:line="360" w:lineRule="auto"/>
        <w:ind w:left="142"/>
        <w:rPr>
          <w:rFonts w:ascii="宋体" w:hAnsi="宋体" w:cs="宋体"/>
          <w:color w:val="000000" w:themeColor="text1"/>
          <w:szCs w:val="21"/>
          <w14:textFill>
            <w14:solidFill>
              <w14:schemeClr w14:val="tx1"/>
            </w14:solidFill>
          </w14:textFill>
        </w:rPr>
      </w:pPr>
    </w:p>
    <w:p>
      <w:pPr>
        <w:pStyle w:val="3"/>
        <w:numPr>
          <w:ilvl w:val="0"/>
          <w:numId w:val="3"/>
        </w:numPr>
        <w:spacing w:line="360" w:lineRule="auto"/>
        <w:jc w:val="center"/>
        <w:rPr>
          <w:rFonts w:ascii="方正小标宋_GBK" w:hAnsi="方正小标宋_GBK" w:eastAsia="方正小标宋_GBK" w:cs="方正小标宋_GBK"/>
          <w:color w:val="000000" w:themeColor="text1"/>
          <w:sz w:val="28"/>
          <w:szCs w:val="28"/>
          <w14:textFill>
            <w14:solidFill>
              <w14:schemeClr w14:val="tx1"/>
            </w14:solidFill>
          </w14:textFill>
        </w:rPr>
      </w:pPr>
      <w:r>
        <w:rPr>
          <w:rFonts w:hint="eastAsia" w:ascii="方正小标宋_GBK" w:hAnsi="方正小标宋_GBK" w:eastAsia="方正小标宋_GBK" w:cs="方正小标宋_GBK"/>
          <w:color w:val="000000" w:themeColor="text1"/>
          <w:sz w:val="28"/>
          <w:szCs w:val="28"/>
          <w14:textFill>
            <w14:solidFill>
              <w14:schemeClr w14:val="tx1"/>
            </w14:solidFill>
          </w14:textFill>
        </w:rPr>
        <w:t xml:space="preserve"> </w:t>
      </w:r>
      <w:bookmarkStart w:id="224" w:name="_Toc5798"/>
      <w:r>
        <w:rPr>
          <w:rFonts w:hint="eastAsia" w:ascii="方正小标宋_GBK" w:hAnsi="方正小标宋_GBK" w:eastAsia="方正小标宋_GBK" w:cs="方正小标宋_GBK"/>
          <w:color w:val="000000" w:themeColor="text1"/>
          <w:sz w:val="28"/>
          <w:szCs w:val="28"/>
          <w14:textFill>
            <w14:solidFill>
              <w14:schemeClr w14:val="tx1"/>
            </w14:solidFill>
          </w14:textFill>
        </w:rPr>
        <w:t>反洗钱条款</w:t>
      </w:r>
      <w:bookmarkEnd w:id="224"/>
    </w:p>
    <w:p>
      <w:pPr>
        <w:spacing w:line="480" w:lineRule="exact"/>
        <w:ind w:firstLine="573"/>
        <w:rPr>
          <w:rFonts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13.1 甲乙双方愿意严格遵守中华人民共和国反洗钱相关法规，了解任何形式的洗钱行为都将触犯法律，并将受到法律的严惩；</w:t>
      </w:r>
    </w:p>
    <w:p>
      <w:pPr>
        <w:spacing w:line="480" w:lineRule="exact"/>
        <w:ind w:firstLine="573"/>
        <w:rPr>
          <w:rFonts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13.2 乙方作为负有法定反洗钱义务的金融机构，将根据国家反洗钱法规的规定对甲方采取客户身份识别、客户身份资料及交易记录保存、大额交易及可疑交易报告等措施，对此，甲方予以充分理解并愿意配合提供乙方履行反洗钱义务所需的信息及资料；</w:t>
      </w:r>
    </w:p>
    <w:p>
      <w:pPr>
        <w:spacing w:line="480" w:lineRule="exact"/>
        <w:ind w:firstLine="573"/>
        <w:rPr>
          <w:rFonts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13.3 甲方承诺保险费来源为合法所得、本次投保无非法目的；</w:t>
      </w:r>
    </w:p>
    <w:p>
      <w:pPr>
        <w:spacing w:line="480" w:lineRule="exact"/>
        <w:ind w:firstLine="573"/>
        <w:rPr>
          <w:rFonts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13.4 甲方承诺本次参保人员中不存在中国政府公布的恐怖分子、红色通缉令人员、外国政要；</w:t>
      </w:r>
    </w:p>
    <w:p>
      <w:pPr>
        <w:spacing w:line="480" w:lineRule="exact"/>
        <w:ind w:firstLine="573"/>
        <w:rPr>
          <w:rFonts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13.5 乙方对依法履行反洗钱职责或者义务获得客户身份资料和交易信息予以保密。</w:t>
      </w:r>
    </w:p>
    <w:p>
      <w:pPr>
        <w:pStyle w:val="3"/>
        <w:numPr>
          <w:ilvl w:val="0"/>
          <w:numId w:val="3"/>
        </w:numPr>
        <w:spacing w:line="360" w:lineRule="auto"/>
        <w:jc w:val="center"/>
        <w:rPr>
          <w:rFonts w:ascii="方正小标宋_GBK" w:hAnsi="方正小标宋_GBK" w:eastAsia="方正小标宋_GBK" w:cs="方正小标宋_GBK"/>
          <w:color w:val="000000" w:themeColor="text1"/>
          <w:sz w:val="28"/>
          <w:szCs w:val="28"/>
          <w14:textFill>
            <w14:solidFill>
              <w14:schemeClr w14:val="tx1"/>
            </w14:solidFill>
          </w14:textFill>
        </w:rPr>
      </w:pPr>
      <w:bookmarkStart w:id="225" w:name="_Toc183"/>
      <w:r>
        <w:rPr>
          <w:rFonts w:hint="eastAsia" w:ascii="方正小标宋_GBK" w:hAnsi="方正小标宋_GBK" w:eastAsia="方正小标宋_GBK" w:cs="方正小标宋_GBK"/>
          <w:color w:val="000000" w:themeColor="text1"/>
          <w:sz w:val="28"/>
          <w:szCs w:val="28"/>
          <w14:textFill>
            <w14:solidFill>
              <w14:schemeClr w14:val="tx1"/>
            </w14:solidFill>
          </w14:textFill>
        </w:rPr>
        <w:t>附则</w:t>
      </w:r>
      <w:bookmarkEnd w:id="225"/>
    </w:p>
    <w:p>
      <w:pPr>
        <w:spacing w:line="480" w:lineRule="exact"/>
        <w:ind w:firstLine="573"/>
        <w:rPr>
          <w:rFonts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14.1 协议内容如有与条款规定相冲突之处，以本协议为准；本协议之未尽事宜，以条款为准。</w:t>
      </w:r>
    </w:p>
    <w:p>
      <w:pPr>
        <w:spacing w:line="480" w:lineRule="exact"/>
        <w:ind w:firstLine="573"/>
        <w:rPr>
          <w:rFonts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14.2 协议履行过程中，有未尽事宜，双方应及时协商，达成补充协议后共同执行。</w:t>
      </w:r>
    </w:p>
    <w:p>
      <w:pPr>
        <w:spacing w:line="480" w:lineRule="exact"/>
        <w:ind w:firstLine="573"/>
        <w:rPr>
          <w:rFonts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14.3 协议一经订立，协议双方须严格按照协议执行，违反的一方应承担违约责任，违约方须赔偿由此给对方造成的损失。</w:t>
      </w:r>
    </w:p>
    <w:p>
      <w:pPr>
        <w:spacing w:line="480" w:lineRule="exact"/>
        <w:ind w:firstLine="573"/>
        <w:rPr>
          <w:rFonts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14.4 协议如遇国家正式发布的相关政策及法律、法规发生变化，对协议的执行发生重大影响，致使本协议的目的难以达到时，双方须以国家政策、法律、法规为准，可以对本协议进行修改以保证协议的继续有效履行。</w:t>
      </w:r>
    </w:p>
    <w:p>
      <w:pPr>
        <w:spacing w:line="480" w:lineRule="exact"/>
        <w:ind w:firstLine="573"/>
        <w:rPr>
          <w:rFonts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14.5 协议履行过程中，双方发生争议或纠纷时，应及时协商解决，协商解决不成的，双方均有权提交</w:t>
      </w:r>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被保险人所在地人民</w:t>
      </w:r>
      <w:r>
        <w:rPr>
          <w:rFonts w:hint="eastAsia" w:ascii="方正仿宋_GBK" w:hAnsi="方正仿宋_GBK" w:eastAsia="方正仿宋_GBK" w:cs="方正仿宋_GBK"/>
          <w:color w:val="000000" w:themeColor="text1"/>
          <w:sz w:val="24"/>
          <w:szCs w:val="24"/>
          <w14:textFill>
            <w14:solidFill>
              <w14:schemeClr w14:val="tx1"/>
            </w14:solidFill>
          </w14:textFill>
        </w:rPr>
        <w:t>法院</w:t>
      </w:r>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诉讼</w:t>
      </w:r>
      <w:r>
        <w:rPr>
          <w:rFonts w:hint="eastAsia" w:ascii="方正仿宋_GBK" w:hAnsi="方正仿宋_GBK" w:eastAsia="方正仿宋_GBK" w:cs="方正仿宋_GBK"/>
          <w:color w:val="000000" w:themeColor="text1"/>
          <w:sz w:val="24"/>
          <w:szCs w:val="24"/>
          <w14:textFill>
            <w14:solidFill>
              <w14:schemeClr w14:val="tx1"/>
            </w14:solidFill>
          </w14:textFill>
        </w:rPr>
        <w:t>解决。</w:t>
      </w:r>
    </w:p>
    <w:p>
      <w:pPr>
        <w:spacing w:line="480" w:lineRule="exact"/>
        <w:ind w:firstLine="573"/>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14.6 甲乙双方应对其在本条载明提供的联系地址的有效性、真实性负责，该联系地址即为双方接受通知（本合同任何通知均应以书面形式送达）、函件等文件及争议进入民事诉讼后一切程序（一审、二审、再审和执行）诉讼文书的送达地址；按照该联系地址送达的，无人签收、拒绝签收或因其下落不明未签收被退回的，视为当事人签收，不影响送达的效力。任何一方变更该联系地址的，应于变更后三日内以书面形式通知合同相对方；未按约定变更的，其在本合同中提供的联系地址仍为有效送达地址。任何一方没有填写以上通知地址及方式，则以“国家企业信用信息公示系统”平台上登记的注册地为准。</w:t>
      </w:r>
    </w:p>
    <w:p>
      <w:pPr>
        <w:spacing w:line="480" w:lineRule="exact"/>
        <w:ind w:firstLine="573"/>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甲方：</w:t>
      </w:r>
    </w:p>
    <w:p>
      <w:pPr>
        <w:spacing w:line="480" w:lineRule="exact"/>
        <w:ind w:firstLine="573"/>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联系人：</w:t>
      </w:r>
    </w:p>
    <w:p>
      <w:pPr>
        <w:spacing w:line="480" w:lineRule="exact"/>
        <w:ind w:firstLine="573"/>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联系地址：</w:t>
      </w:r>
    </w:p>
    <w:p>
      <w:pPr>
        <w:spacing w:line="480" w:lineRule="exact"/>
        <w:ind w:firstLine="573"/>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电话：</w:t>
      </w:r>
    </w:p>
    <w:p>
      <w:pPr>
        <w:spacing w:line="480" w:lineRule="exact"/>
        <w:ind w:firstLine="573"/>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邮箱：</w:t>
      </w:r>
    </w:p>
    <w:p>
      <w:pPr>
        <w:spacing w:line="480" w:lineRule="exact"/>
        <w:ind w:firstLine="573"/>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乙方：</w:t>
      </w:r>
    </w:p>
    <w:p>
      <w:pPr>
        <w:spacing w:line="480" w:lineRule="exact"/>
        <w:ind w:firstLine="573"/>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联系人：</w:t>
      </w:r>
    </w:p>
    <w:p>
      <w:pPr>
        <w:spacing w:line="480" w:lineRule="exact"/>
        <w:ind w:firstLine="573"/>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联系地址：</w:t>
      </w:r>
    </w:p>
    <w:p>
      <w:pPr>
        <w:spacing w:line="480" w:lineRule="exact"/>
        <w:ind w:firstLine="573"/>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电话：</w:t>
      </w:r>
    </w:p>
    <w:p>
      <w:pPr>
        <w:spacing w:line="480" w:lineRule="exact"/>
        <w:ind w:firstLine="573"/>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邮箱：</w:t>
      </w:r>
    </w:p>
    <w:p>
      <w:pPr>
        <w:spacing w:line="480" w:lineRule="exact"/>
        <w:ind w:firstLine="573"/>
        <w:rPr>
          <w:rFonts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14.7</w:t>
      </w:r>
      <w:r>
        <w:rPr>
          <w:rFonts w:hint="eastAsia" w:ascii="方正仿宋_GBK" w:hAnsi="方正仿宋_GBK" w:eastAsia="方正仿宋_GBK" w:cs="方正仿宋_GBK"/>
          <w:color w:val="000000" w:themeColor="text1"/>
          <w:sz w:val="24"/>
          <w:szCs w:val="24"/>
          <w14:textFill>
            <w14:solidFill>
              <w14:schemeClr w14:val="tx1"/>
            </w14:solidFill>
          </w14:textFill>
        </w:rPr>
        <w:t>协议一式两份，双方各执壹份，具有同等法律效力；本协议经双方授权代表签字、加盖公章并在投保人缴纳首期保费后生效。</w:t>
      </w:r>
    </w:p>
    <w:p>
      <w:pPr>
        <w:spacing w:line="480" w:lineRule="exact"/>
        <w:ind w:firstLine="573"/>
        <w:rPr>
          <w:rFonts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（以下无正文）</w:t>
      </w:r>
    </w:p>
    <w:p>
      <w:pPr>
        <w:snapToGrid w:val="0"/>
        <w:spacing w:before="120" w:line="360" w:lineRule="auto"/>
        <w:rPr>
          <w:rFonts w:ascii="宋体" w:hAnsi="宋体" w:cs="宋体"/>
          <w:color w:val="000000" w:themeColor="text1"/>
          <w:szCs w:val="21"/>
          <w14:textFill>
            <w14:solidFill>
              <w14:schemeClr w14:val="tx1"/>
            </w14:solidFill>
          </w14:textFill>
        </w:rPr>
      </w:pPr>
    </w:p>
    <w:p>
      <w:pPr>
        <w:snapToGrid w:val="0"/>
        <w:spacing w:before="120" w:line="360" w:lineRule="auto"/>
        <w:rPr>
          <w:rFonts w:ascii="宋体" w:hAnsi="宋体" w:cs="宋体"/>
          <w:color w:val="000000" w:themeColor="text1"/>
          <w:szCs w:val="21"/>
          <w14:textFill>
            <w14:solidFill>
              <w14:schemeClr w14:val="tx1"/>
            </w14:solidFill>
          </w14:textFill>
        </w:rPr>
      </w:pPr>
    </w:p>
    <w:p>
      <w:pPr>
        <w:spacing w:line="360" w:lineRule="auto"/>
        <w:rPr>
          <w:rFonts w:ascii="宋体" w:hAnsi="宋体" w:cs="宋体"/>
          <w:color w:val="000000" w:themeColor="text1"/>
          <w:szCs w:val="21"/>
          <w14:textFill>
            <w14:solidFill>
              <w14:schemeClr w14:val="tx1"/>
            </w14:solidFill>
          </w14:textFill>
        </w:rPr>
      </w:pPr>
    </w:p>
    <w:p>
      <w:pPr>
        <w:spacing w:line="480" w:lineRule="exact"/>
        <w:ind w:firstLine="573"/>
        <w:rPr>
          <w:rFonts w:ascii="方正仿宋_GBK" w:hAnsi="方正仿宋_GBK" w:eastAsia="方正仿宋_GBK" w:cs="方正仿宋_GBK"/>
          <w:color w:val="000000" w:themeColor="text1"/>
          <w:sz w:val="24"/>
          <w:szCs w:val="24"/>
          <w:u w:val="single"/>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甲方公司签章：</w:t>
      </w:r>
      <w:r>
        <w:rPr>
          <w:rFonts w:hint="eastAsia" w:ascii="方正仿宋_GBK" w:hAnsi="方正仿宋_GBK" w:eastAsia="方正仿宋_GBK" w:cs="方正仿宋_GBK"/>
          <w:color w:val="000000" w:themeColor="text1"/>
          <w:sz w:val="24"/>
          <w:szCs w:val="24"/>
          <w:u w:val="single"/>
          <w14:textFill>
            <w14:solidFill>
              <w14:schemeClr w14:val="tx1"/>
            </w14:solidFill>
          </w14:textFill>
        </w:rPr>
        <w:t xml:space="preserve">                      </w:t>
      </w:r>
      <w:r>
        <w:rPr>
          <w:rFonts w:hint="eastAsia" w:ascii="方正仿宋_GBK" w:hAnsi="方正仿宋_GBK" w:eastAsia="方正仿宋_GBK" w:cs="方正仿宋_GBK"/>
          <w:color w:val="000000" w:themeColor="text1"/>
          <w:sz w:val="24"/>
          <w:szCs w:val="24"/>
          <w14:textFill>
            <w14:solidFill>
              <w14:schemeClr w14:val="tx1"/>
            </w14:solidFill>
          </w14:textFill>
        </w:rPr>
        <w:t xml:space="preserve">      乙方公司签章：</w:t>
      </w:r>
      <w:r>
        <w:rPr>
          <w:rFonts w:hint="eastAsia" w:ascii="方正仿宋_GBK" w:hAnsi="方正仿宋_GBK" w:eastAsia="方正仿宋_GBK" w:cs="方正仿宋_GBK"/>
          <w:color w:val="000000" w:themeColor="text1"/>
          <w:sz w:val="24"/>
          <w:szCs w:val="24"/>
          <w:u w:val="single"/>
          <w14:textFill>
            <w14:solidFill>
              <w14:schemeClr w14:val="tx1"/>
            </w14:solidFill>
          </w14:textFill>
        </w:rPr>
        <w:t xml:space="preserve">                   </w:t>
      </w:r>
    </w:p>
    <w:p>
      <w:pPr>
        <w:spacing w:line="480" w:lineRule="exact"/>
        <w:ind w:firstLine="573"/>
        <w:rPr>
          <w:rFonts w:ascii="方正仿宋_GBK" w:hAnsi="方正仿宋_GBK" w:eastAsia="方正仿宋_GBK" w:cs="方正仿宋_GBK"/>
          <w:color w:val="000000" w:themeColor="text1"/>
          <w:sz w:val="24"/>
          <w:szCs w:val="24"/>
          <w:u w:val="single"/>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 xml:space="preserve">代表签字： </w:t>
      </w:r>
      <w:r>
        <w:rPr>
          <w:rFonts w:hint="eastAsia" w:ascii="方正仿宋_GBK" w:hAnsi="方正仿宋_GBK" w:eastAsia="方正仿宋_GBK" w:cs="方正仿宋_GBK"/>
          <w:color w:val="000000" w:themeColor="text1"/>
          <w:sz w:val="24"/>
          <w:szCs w:val="24"/>
          <w:u w:val="single"/>
          <w14:textFill>
            <w14:solidFill>
              <w14:schemeClr w14:val="tx1"/>
            </w14:solidFill>
          </w14:textFill>
        </w:rPr>
        <w:t xml:space="preserve">               </w:t>
      </w:r>
      <w:r>
        <w:rPr>
          <w:rFonts w:hint="eastAsia" w:ascii="方正仿宋_GBK" w:hAnsi="方正仿宋_GBK" w:cs="方正仿宋_GBK"/>
          <w:color w:val="000000" w:themeColor="text1"/>
          <w:sz w:val="24"/>
          <w:szCs w:val="24"/>
          <w:u w:val="single"/>
          <w14:textFill>
            <w14:solidFill>
              <w14:schemeClr w14:val="tx1"/>
            </w14:solidFill>
          </w14:textFill>
        </w:rPr>
        <w:t xml:space="preserve">  </w:t>
      </w:r>
      <w:r>
        <w:rPr>
          <w:rFonts w:hint="eastAsia" w:ascii="方正仿宋_GBK" w:hAnsi="方正仿宋_GBK" w:eastAsia="方正仿宋_GBK" w:cs="方正仿宋_GBK"/>
          <w:color w:val="000000" w:themeColor="text1"/>
          <w:sz w:val="24"/>
          <w:szCs w:val="24"/>
          <w:u w:val="single"/>
          <w14:textFill>
            <w14:solidFill>
              <w14:schemeClr w14:val="tx1"/>
            </w14:solidFill>
          </w14:textFill>
        </w:rPr>
        <w:t xml:space="preserve">        </w:t>
      </w:r>
      <w:r>
        <w:rPr>
          <w:rFonts w:hint="eastAsia" w:ascii="方正仿宋_GBK" w:hAnsi="方正仿宋_GBK" w:eastAsia="方正仿宋_GBK" w:cs="方正仿宋_GBK"/>
          <w:color w:val="000000" w:themeColor="text1"/>
          <w:sz w:val="24"/>
          <w:szCs w:val="24"/>
          <w14:textFill>
            <w14:solidFill>
              <w14:schemeClr w14:val="tx1"/>
            </w14:solidFill>
          </w14:textFill>
        </w:rPr>
        <w:t xml:space="preserve">      代表签字：</w:t>
      </w:r>
      <w:r>
        <w:rPr>
          <w:rFonts w:hint="eastAsia" w:ascii="方正仿宋_GBK" w:hAnsi="方正仿宋_GBK" w:eastAsia="方正仿宋_GBK" w:cs="方正仿宋_GBK"/>
          <w:color w:val="000000" w:themeColor="text1"/>
          <w:sz w:val="24"/>
          <w:szCs w:val="24"/>
          <w:u w:val="single"/>
          <w14:textFill>
            <w14:solidFill>
              <w14:schemeClr w14:val="tx1"/>
            </w14:solidFill>
          </w14:textFill>
        </w:rPr>
        <w:t xml:space="preserve">             </w:t>
      </w:r>
      <w:r>
        <w:rPr>
          <w:rFonts w:hint="eastAsia" w:ascii="方正仿宋_GBK" w:hAnsi="方正仿宋_GBK" w:cs="方正仿宋_GBK"/>
          <w:color w:val="000000" w:themeColor="text1"/>
          <w:sz w:val="24"/>
          <w:szCs w:val="24"/>
          <w:u w:val="single"/>
          <w14:textFill>
            <w14:solidFill>
              <w14:schemeClr w14:val="tx1"/>
            </w14:solidFill>
          </w14:textFill>
        </w:rPr>
        <w:t xml:space="preserve">    </w:t>
      </w:r>
      <w:r>
        <w:rPr>
          <w:rFonts w:hint="eastAsia" w:ascii="方正仿宋_GBK" w:hAnsi="方正仿宋_GBK" w:eastAsia="方正仿宋_GBK" w:cs="方正仿宋_GBK"/>
          <w:color w:val="000000" w:themeColor="text1"/>
          <w:sz w:val="24"/>
          <w:szCs w:val="24"/>
          <w:u w:val="single"/>
          <w14:textFill>
            <w14:solidFill>
              <w14:schemeClr w14:val="tx1"/>
            </w14:solidFill>
          </w14:textFill>
        </w:rPr>
        <w:t xml:space="preserve">      </w:t>
      </w:r>
    </w:p>
    <w:p>
      <w:pPr>
        <w:spacing w:line="480" w:lineRule="exact"/>
        <w:ind w:firstLine="573"/>
        <w:rPr>
          <w:rFonts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 xml:space="preserve">签署日期： </w:t>
      </w:r>
      <w:r>
        <w:rPr>
          <w:rFonts w:hint="eastAsia" w:ascii="方正仿宋_GBK" w:hAnsi="方正仿宋_GBK" w:eastAsia="方正仿宋_GBK" w:cs="方正仿宋_GBK"/>
          <w:color w:val="000000" w:themeColor="text1"/>
          <w:sz w:val="24"/>
          <w:szCs w:val="24"/>
          <w:u w:val="single"/>
          <w14:textFill>
            <w14:solidFill>
              <w14:schemeClr w14:val="tx1"/>
            </w14:solidFill>
          </w14:textFill>
        </w:rPr>
        <w:t xml:space="preserve">             </w:t>
      </w:r>
      <w:r>
        <w:rPr>
          <w:rFonts w:hint="eastAsia" w:ascii="方正仿宋_GBK" w:hAnsi="方正仿宋_GBK" w:cs="方正仿宋_GBK"/>
          <w:color w:val="000000" w:themeColor="text1"/>
          <w:sz w:val="24"/>
          <w:szCs w:val="24"/>
          <w:u w:val="single"/>
          <w14:textFill>
            <w14:solidFill>
              <w14:schemeClr w14:val="tx1"/>
            </w14:solidFill>
          </w14:textFill>
        </w:rPr>
        <w:t xml:space="preserve">    </w:t>
      </w:r>
      <w:r>
        <w:rPr>
          <w:rFonts w:hint="eastAsia" w:ascii="方正仿宋_GBK" w:hAnsi="方正仿宋_GBK" w:eastAsia="方正仿宋_GBK" w:cs="方正仿宋_GBK"/>
          <w:color w:val="000000" w:themeColor="text1"/>
          <w:sz w:val="24"/>
          <w:szCs w:val="24"/>
          <w:u w:val="single"/>
          <w14:textFill>
            <w14:solidFill>
              <w14:schemeClr w14:val="tx1"/>
            </w14:solidFill>
          </w14:textFill>
        </w:rPr>
        <w:t xml:space="preserve">        </w:t>
      </w:r>
      <w:r>
        <w:rPr>
          <w:rFonts w:hint="eastAsia" w:ascii="方正仿宋_GBK" w:hAnsi="方正仿宋_GBK" w:eastAsia="方正仿宋_GBK" w:cs="方正仿宋_GBK"/>
          <w:color w:val="000000" w:themeColor="text1"/>
          <w:sz w:val="24"/>
          <w:szCs w:val="24"/>
          <w14:textFill>
            <w14:solidFill>
              <w14:schemeClr w14:val="tx1"/>
            </w14:solidFill>
          </w14:textFill>
        </w:rPr>
        <w:t xml:space="preserve">      签署日期： </w:t>
      </w:r>
      <w:r>
        <w:rPr>
          <w:rFonts w:hint="eastAsia" w:ascii="方正仿宋_GBK" w:hAnsi="方正仿宋_GBK" w:eastAsia="方正仿宋_GBK" w:cs="方正仿宋_GBK"/>
          <w:color w:val="000000" w:themeColor="text1"/>
          <w:sz w:val="24"/>
          <w:szCs w:val="24"/>
          <w:u w:val="single"/>
          <w14:textFill>
            <w14:solidFill>
              <w14:schemeClr w14:val="tx1"/>
            </w14:solidFill>
          </w14:textFill>
        </w:rPr>
        <w:t xml:space="preserve">         </w:t>
      </w:r>
      <w:r>
        <w:rPr>
          <w:rFonts w:hint="eastAsia" w:ascii="方正仿宋_GBK" w:hAnsi="方正仿宋_GBK" w:cs="方正仿宋_GBK"/>
          <w:color w:val="000000" w:themeColor="text1"/>
          <w:sz w:val="24"/>
          <w:szCs w:val="24"/>
          <w:u w:val="single"/>
          <w14:textFill>
            <w14:solidFill>
              <w14:schemeClr w14:val="tx1"/>
            </w14:solidFill>
          </w14:textFill>
        </w:rPr>
        <w:t xml:space="preserve">    </w:t>
      </w:r>
      <w:r>
        <w:rPr>
          <w:rFonts w:hint="eastAsia" w:ascii="方正仿宋_GBK" w:hAnsi="方正仿宋_GBK" w:eastAsia="方正仿宋_GBK" w:cs="方正仿宋_GBK"/>
          <w:color w:val="000000" w:themeColor="text1"/>
          <w:sz w:val="24"/>
          <w:szCs w:val="24"/>
          <w:u w:val="single"/>
          <w14:textFill>
            <w14:solidFill>
              <w14:schemeClr w14:val="tx1"/>
            </w14:solidFill>
          </w14:textFill>
        </w:rPr>
        <w:t xml:space="preserve">         </w:t>
      </w:r>
    </w:p>
    <w:p>
      <w:pPr>
        <w:spacing w:line="360" w:lineRule="auto"/>
        <w:rPr>
          <w:rFonts w:ascii="宋体" w:hAnsi="宋体" w:cs="宋体"/>
          <w:color w:val="000000" w:themeColor="text1"/>
          <w:szCs w:val="21"/>
          <w:u w:val="single"/>
          <w14:textFill>
            <w14:solidFill>
              <w14:schemeClr w14:val="tx1"/>
            </w14:solidFill>
          </w14:textFill>
        </w:rPr>
      </w:pPr>
    </w:p>
    <w:p>
      <w:pPr>
        <w:pStyle w:val="6"/>
        <w:rPr>
          <w:color w:val="000000" w:themeColor="text1"/>
          <w14:textFill>
            <w14:solidFill>
              <w14:schemeClr w14:val="tx1"/>
            </w14:solidFill>
          </w14:textFill>
        </w:rPr>
      </w:pPr>
    </w:p>
    <w:p>
      <w:pPr>
        <w:rPr>
          <w:color w:val="000000" w:themeColor="text1"/>
          <w14:textFill>
            <w14:solidFill>
              <w14:schemeClr w14:val="tx1"/>
            </w14:solidFill>
          </w14:textFill>
        </w:rPr>
      </w:pPr>
    </w:p>
    <w:p>
      <w:pPr>
        <w:spacing w:line="360" w:lineRule="auto"/>
        <w:rPr>
          <w:rFonts w:ascii="宋体" w:hAnsi="宋体" w:cs="宋体"/>
          <w:szCs w:val="21"/>
          <w:u w:val="single"/>
        </w:rPr>
      </w:pPr>
    </w:p>
    <w:p>
      <w:pPr>
        <w:pStyle w:val="6"/>
      </w:pPr>
    </w:p>
    <w:p>
      <w:pPr>
        <w:spacing w:line="560" w:lineRule="exact"/>
        <w:rPr>
          <w:rFonts w:ascii="方正黑体_GBK" w:hAnsi="方正黑体_GBK" w:eastAsia="方正黑体_GBK" w:cs="方正黑体_GBK"/>
          <w:sz w:val="32"/>
          <w:szCs w:val="32"/>
        </w:rPr>
      </w:pPr>
    </w:p>
    <w:p>
      <w:pPr>
        <w:spacing w:line="560" w:lineRule="exact"/>
        <w:outlineLvl w:val="0"/>
        <w:rPr>
          <w:rFonts w:ascii="方正黑体_GBK" w:hAnsi="方正黑体_GBK" w:eastAsia="方正黑体_GBK" w:cs="方正黑体_GBK"/>
          <w:sz w:val="32"/>
          <w:szCs w:val="32"/>
        </w:rPr>
      </w:pPr>
    </w:p>
    <w:p>
      <w:pPr>
        <w:spacing w:line="560" w:lineRule="exact"/>
        <w:jc w:val="center"/>
        <w:outlineLvl w:val="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第五章 应选文件格式</w:t>
      </w:r>
    </w:p>
    <w:p>
      <w:pPr>
        <w:spacing w:line="560" w:lineRule="exact"/>
        <w:ind w:firstLine="640" w:firstLineChars="200"/>
        <w:rPr>
          <w:rFonts w:ascii="方正黑体_GBK" w:hAnsi="方正黑体_GBK" w:eastAsia="方正黑体_GBK" w:cs="方正黑体_GBK"/>
          <w:sz w:val="32"/>
          <w:szCs w:val="32"/>
        </w:rPr>
      </w:pPr>
    </w:p>
    <w:p>
      <w:pPr>
        <w:spacing w:line="560" w:lineRule="exact"/>
        <w:ind w:firstLine="640" w:firstLineChars="200"/>
        <w:rPr>
          <w:rFonts w:ascii="方正黑体_GBK" w:hAnsi="方正黑体_GBK" w:eastAsia="方正黑体_GBK" w:cs="方正黑体_GBK"/>
          <w:sz w:val="32"/>
          <w:szCs w:val="32"/>
        </w:rPr>
      </w:pPr>
    </w:p>
    <w:p>
      <w:pPr>
        <w:spacing w:line="560" w:lineRule="exact"/>
        <w:ind w:firstLine="640" w:firstLineChars="200"/>
        <w:rPr>
          <w:rFonts w:ascii="方正黑体_GBK" w:hAnsi="方正黑体_GBK" w:eastAsia="方正黑体_GBK" w:cs="方正黑体_GBK"/>
          <w:sz w:val="32"/>
          <w:szCs w:val="32"/>
        </w:rPr>
      </w:pPr>
    </w:p>
    <w:p>
      <w:pPr>
        <w:rPr>
          <w:rFonts w:ascii="方正黑体_GBK" w:hAnsi="方正黑体_GBK" w:eastAsia="方正黑体_GBK" w:cs="方正黑体_GBK"/>
          <w:sz w:val="32"/>
          <w:szCs w:val="32"/>
        </w:rPr>
      </w:pPr>
    </w:p>
    <w:p>
      <w:pPr>
        <w:autoSpaceDE w:val="0"/>
        <w:autoSpaceDN w:val="0"/>
        <w:adjustRightInd w:val="0"/>
        <w:snapToGrid w:val="0"/>
        <w:spacing w:line="360" w:lineRule="auto"/>
        <w:jc w:val="center"/>
        <w:outlineLvl w:val="0"/>
        <w:rPr>
          <w:rFonts w:ascii="宋体" w:hAnsi="宋体" w:cs="宋体"/>
          <w:b/>
          <w:kern w:val="0"/>
          <w:sz w:val="36"/>
          <w:szCs w:val="36"/>
        </w:rPr>
      </w:pPr>
      <w:r>
        <w:rPr>
          <w:rFonts w:hint="eastAsia" w:ascii="宋体" w:hAnsi="宋体" w:cs="宋体"/>
          <w:b/>
          <w:kern w:val="0"/>
          <w:sz w:val="36"/>
          <w:szCs w:val="36"/>
          <w:u w:val="single"/>
        </w:rPr>
        <w:tab/>
      </w:r>
      <w:r>
        <w:rPr>
          <w:rFonts w:hint="eastAsia" w:ascii="宋体" w:hAnsi="宋体" w:cs="宋体"/>
          <w:b/>
          <w:kern w:val="0"/>
          <w:sz w:val="36"/>
          <w:szCs w:val="36"/>
          <w:u w:val="single"/>
        </w:rPr>
        <w:t xml:space="preserve">                     </w:t>
      </w:r>
      <w:bookmarkStart w:id="226" w:name="_Toc18748"/>
      <w:r>
        <w:rPr>
          <w:rFonts w:hint="eastAsia" w:ascii="宋体" w:hAnsi="宋体" w:cs="宋体"/>
          <w:b/>
          <w:kern w:val="0"/>
          <w:sz w:val="36"/>
          <w:szCs w:val="36"/>
        </w:rPr>
        <w:t>（项目名称）</w:t>
      </w:r>
      <w:bookmarkEnd w:id="226"/>
    </w:p>
    <w:p>
      <w:pPr>
        <w:tabs>
          <w:tab w:val="left" w:pos="3600"/>
          <w:tab w:val="left" w:pos="4480"/>
          <w:tab w:val="left" w:pos="5360"/>
        </w:tabs>
        <w:autoSpaceDE w:val="0"/>
        <w:autoSpaceDN w:val="0"/>
        <w:adjustRightInd w:val="0"/>
        <w:snapToGrid w:val="0"/>
        <w:spacing w:line="360" w:lineRule="auto"/>
        <w:jc w:val="left"/>
        <w:rPr>
          <w:rFonts w:ascii="宋体" w:hAnsi="宋体" w:cs="宋体"/>
          <w:kern w:val="0"/>
          <w:sz w:val="44"/>
          <w:szCs w:val="44"/>
        </w:rPr>
      </w:pPr>
    </w:p>
    <w:p>
      <w:pPr>
        <w:tabs>
          <w:tab w:val="left" w:pos="3600"/>
          <w:tab w:val="left" w:pos="4480"/>
          <w:tab w:val="left" w:pos="5360"/>
        </w:tabs>
        <w:autoSpaceDE w:val="0"/>
        <w:autoSpaceDN w:val="0"/>
        <w:adjustRightInd w:val="0"/>
        <w:snapToGrid w:val="0"/>
        <w:spacing w:line="360" w:lineRule="auto"/>
        <w:jc w:val="left"/>
        <w:rPr>
          <w:rFonts w:ascii="宋体" w:hAnsi="宋体" w:cs="宋体"/>
          <w:kern w:val="0"/>
          <w:sz w:val="44"/>
          <w:szCs w:val="44"/>
        </w:rPr>
      </w:pPr>
    </w:p>
    <w:p>
      <w:pPr>
        <w:tabs>
          <w:tab w:val="left" w:pos="3600"/>
          <w:tab w:val="left" w:pos="4480"/>
          <w:tab w:val="left" w:pos="5360"/>
        </w:tabs>
        <w:autoSpaceDE w:val="0"/>
        <w:autoSpaceDN w:val="0"/>
        <w:adjustRightInd w:val="0"/>
        <w:snapToGrid w:val="0"/>
        <w:spacing w:line="360" w:lineRule="auto"/>
        <w:jc w:val="center"/>
        <w:outlineLvl w:val="0"/>
        <w:rPr>
          <w:rFonts w:ascii="宋体" w:hAnsi="宋体" w:cs="宋体"/>
          <w:b/>
          <w:kern w:val="0"/>
          <w:sz w:val="84"/>
          <w:szCs w:val="84"/>
        </w:rPr>
      </w:pPr>
      <w:r>
        <w:rPr>
          <w:rFonts w:hint="eastAsia" w:ascii="宋体" w:hAnsi="宋体" w:cs="宋体"/>
          <w:b/>
          <w:kern w:val="0"/>
          <w:sz w:val="84"/>
          <w:szCs w:val="84"/>
        </w:rPr>
        <w:t>应  选  文  件</w:t>
      </w:r>
    </w:p>
    <w:p>
      <w:pPr>
        <w:autoSpaceDE w:val="0"/>
        <w:autoSpaceDN w:val="0"/>
        <w:adjustRightInd w:val="0"/>
        <w:snapToGrid w:val="0"/>
        <w:spacing w:line="360" w:lineRule="auto"/>
        <w:jc w:val="left"/>
        <w:rPr>
          <w:rFonts w:ascii="宋体" w:hAnsi="宋体" w:cs="宋体"/>
          <w:kern w:val="0"/>
          <w:sz w:val="16"/>
          <w:szCs w:val="16"/>
        </w:rPr>
      </w:pPr>
    </w:p>
    <w:p>
      <w:pPr>
        <w:autoSpaceDE w:val="0"/>
        <w:autoSpaceDN w:val="0"/>
        <w:adjustRightInd w:val="0"/>
        <w:snapToGrid w:val="0"/>
        <w:spacing w:line="360" w:lineRule="auto"/>
        <w:jc w:val="left"/>
        <w:rPr>
          <w:rFonts w:ascii="宋体" w:hAnsi="宋体" w:cs="宋体"/>
          <w:b/>
          <w:kern w:val="0"/>
          <w:sz w:val="20"/>
          <w:szCs w:val="20"/>
        </w:rPr>
      </w:pPr>
    </w:p>
    <w:p>
      <w:pPr>
        <w:autoSpaceDE w:val="0"/>
        <w:autoSpaceDN w:val="0"/>
        <w:adjustRightInd w:val="0"/>
        <w:snapToGrid w:val="0"/>
        <w:spacing w:line="360" w:lineRule="auto"/>
        <w:jc w:val="left"/>
        <w:rPr>
          <w:rFonts w:ascii="宋体" w:hAnsi="宋体" w:cs="宋体"/>
          <w:b/>
          <w:kern w:val="0"/>
          <w:sz w:val="20"/>
          <w:szCs w:val="20"/>
        </w:rPr>
      </w:pPr>
    </w:p>
    <w:p>
      <w:pPr>
        <w:autoSpaceDE w:val="0"/>
        <w:autoSpaceDN w:val="0"/>
        <w:adjustRightInd w:val="0"/>
        <w:snapToGrid w:val="0"/>
        <w:spacing w:line="360" w:lineRule="auto"/>
        <w:jc w:val="left"/>
        <w:rPr>
          <w:rFonts w:ascii="宋体" w:hAnsi="宋体" w:cs="宋体"/>
          <w:b/>
          <w:kern w:val="0"/>
          <w:sz w:val="20"/>
          <w:szCs w:val="20"/>
        </w:rPr>
      </w:pPr>
    </w:p>
    <w:p>
      <w:pPr>
        <w:autoSpaceDE w:val="0"/>
        <w:autoSpaceDN w:val="0"/>
        <w:adjustRightInd w:val="0"/>
        <w:snapToGrid w:val="0"/>
        <w:spacing w:line="360" w:lineRule="auto"/>
        <w:jc w:val="left"/>
        <w:rPr>
          <w:rFonts w:ascii="宋体" w:hAnsi="宋体" w:cs="宋体"/>
          <w:b/>
          <w:kern w:val="0"/>
          <w:sz w:val="20"/>
          <w:szCs w:val="20"/>
        </w:rPr>
      </w:pPr>
    </w:p>
    <w:p>
      <w:pPr>
        <w:autoSpaceDE w:val="0"/>
        <w:autoSpaceDN w:val="0"/>
        <w:adjustRightInd w:val="0"/>
        <w:snapToGrid w:val="0"/>
        <w:spacing w:line="360" w:lineRule="auto"/>
        <w:jc w:val="left"/>
        <w:rPr>
          <w:rFonts w:ascii="宋体" w:hAnsi="宋体" w:cs="宋体"/>
          <w:b/>
          <w:kern w:val="0"/>
          <w:sz w:val="20"/>
          <w:szCs w:val="20"/>
        </w:rPr>
      </w:pPr>
    </w:p>
    <w:p>
      <w:pPr>
        <w:autoSpaceDE w:val="0"/>
        <w:autoSpaceDN w:val="0"/>
        <w:adjustRightInd w:val="0"/>
        <w:snapToGrid w:val="0"/>
        <w:spacing w:line="360" w:lineRule="auto"/>
        <w:jc w:val="left"/>
        <w:rPr>
          <w:rFonts w:ascii="宋体" w:hAnsi="宋体" w:cs="宋体"/>
          <w:b/>
          <w:kern w:val="0"/>
          <w:sz w:val="20"/>
          <w:szCs w:val="20"/>
        </w:rPr>
      </w:pPr>
    </w:p>
    <w:p>
      <w:pPr>
        <w:autoSpaceDE w:val="0"/>
        <w:autoSpaceDN w:val="0"/>
        <w:adjustRightInd w:val="0"/>
        <w:snapToGrid w:val="0"/>
        <w:spacing w:line="360" w:lineRule="auto"/>
        <w:jc w:val="left"/>
        <w:rPr>
          <w:rFonts w:ascii="宋体" w:hAnsi="宋体" w:cs="宋体"/>
          <w:b/>
          <w:kern w:val="0"/>
          <w:sz w:val="20"/>
          <w:szCs w:val="20"/>
        </w:rPr>
      </w:pPr>
    </w:p>
    <w:p>
      <w:pPr>
        <w:autoSpaceDE w:val="0"/>
        <w:autoSpaceDN w:val="0"/>
        <w:adjustRightInd w:val="0"/>
        <w:snapToGrid w:val="0"/>
        <w:spacing w:line="360" w:lineRule="auto"/>
        <w:jc w:val="left"/>
        <w:rPr>
          <w:rFonts w:ascii="宋体" w:hAnsi="宋体" w:cs="宋体"/>
          <w:b/>
          <w:kern w:val="0"/>
          <w:sz w:val="20"/>
          <w:szCs w:val="20"/>
        </w:rPr>
      </w:pPr>
    </w:p>
    <w:p>
      <w:pPr>
        <w:tabs>
          <w:tab w:val="left" w:pos="6080"/>
          <w:tab w:val="left" w:pos="6640"/>
        </w:tabs>
        <w:autoSpaceDE w:val="0"/>
        <w:autoSpaceDN w:val="0"/>
        <w:adjustRightInd w:val="0"/>
        <w:snapToGrid w:val="0"/>
        <w:spacing w:line="360" w:lineRule="auto"/>
        <w:jc w:val="center"/>
        <w:outlineLvl w:val="0"/>
        <w:rPr>
          <w:rFonts w:ascii="宋体" w:hAnsi="宋体" w:cs="宋体"/>
          <w:b/>
          <w:w w:val="99"/>
          <w:kern w:val="0"/>
          <w:sz w:val="28"/>
          <w:szCs w:val="28"/>
        </w:rPr>
      </w:pPr>
      <w:r>
        <w:rPr>
          <w:rFonts w:hint="eastAsia" w:ascii="宋体" w:hAnsi="宋体" w:cs="宋体"/>
          <w:b/>
          <w:w w:val="99"/>
          <w:kern w:val="0"/>
          <w:sz w:val="28"/>
          <w:szCs w:val="28"/>
        </w:rPr>
        <w:t>应选人</w:t>
      </w:r>
      <w:r>
        <w:rPr>
          <w:rFonts w:hint="eastAsia" w:ascii="宋体" w:hAnsi="宋体" w:cs="宋体"/>
          <w:b/>
          <w:spacing w:val="1"/>
          <w:w w:val="99"/>
          <w:kern w:val="0"/>
          <w:sz w:val="28"/>
          <w:szCs w:val="28"/>
        </w:rPr>
        <w:t>：</w:t>
      </w:r>
      <w:r>
        <w:rPr>
          <w:rFonts w:hint="eastAsia" w:ascii="宋体" w:hAnsi="宋体" w:cs="宋体"/>
          <w:b/>
          <w:w w:val="198"/>
          <w:kern w:val="0"/>
          <w:sz w:val="28"/>
          <w:szCs w:val="28"/>
          <w:u w:val="single"/>
        </w:rPr>
        <w:t xml:space="preserve"> 　　　　 　　</w:t>
      </w:r>
      <w:r>
        <w:rPr>
          <w:rFonts w:hint="eastAsia" w:ascii="宋体" w:hAnsi="宋体" w:cs="宋体"/>
          <w:b/>
          <w:w w:val="99"/>
          <w:kern w:val="0"/>
          <w:sz w:val="28"/>
          <w:szCs w:val="28"/>
        </w:rPr>
        <w:t>（盖单位公章）</w:t>
      </w:r>
    </w:p>
    <w:p>
      <w:pPr>
        <w:tabs>
          <w:tab w:val="left" w:pos="6080"/>
          <w:tab w:val="left" w:pos="6640"/>
        </w:tabs>
        <w:autoSpaceDE w:val="0"/>
        <w:autoSpaceDN w:val="0"/>
        <w:adjustRightInd w:val="0"/>
        <w:snapToGrid w:val="0"/>
        <w:spacing w:line="360" w:lineRule="auto"/>
        <w:jc w:val="center"/>
        <w:outlineLvl w:val="0"/>
        <w:rPr>
          <w:rFonts w:ascii="宋体" w:hAnsi="宋体" w:cs="宋体"/>
          <w:b/>
          <w:kern w:val="0"/>
          <w:sz w:val="28"/>
          <w:szCs w:val="28"/>
        </w:rPr>
      </w:pPr>
      <w:r>
        <w:rPr>
          <w:rFonts w:hint="eastAsia" w:ascii="宋体" w:hAnsi="宋体" w:cs="宋体"/>
          <w:b/>
          <w:w w:val="99"/>
          <w:kern w:val="0"/>
          <w:sz w:val="28"/>
          <w:szCs w:val="28"/>
        </w:rPr>
        <w:t>法定代表人或其委托代理人：</w:t>
      </w:r>
      <w:r>
        <w:rPr>
          <w:rFonts w:hint="eastAsia" w:ascii="宋体" w:hAnsi="宋体" w:cs="宋体"/>
          <w:b/>
          <w:w w:val="198"/>
          <w:kern w:val="0"/>
          <w:sz w:val="28"/>
          <w:szCs w:val="28"/>
          <w:u w:val="single"/>
        </w:rPr>
        <w:t>　   　</w:t>
      </w:r>
      <w:r>
        <w:rPr>
          <w:rFonts w:hint="eastAsia" w:ascii="宋体" w:hAnsi="宋体" w:cs="宋体"/>
          <w:b/>
          <w:w w:val="99"/>
          <w:kern w:val="0"/>
          <w:sz w:val="28"/>
          <w:szCs w:val="28"/>
        </w:rPr>
        <w:t>（签字或盖章）</w:t>
      </w:r>
    </w:p>
    <w:p>
      <w:pPr>
        <w:tabs>
          <w:tab w:val="left" w:pos="3280"/>
          <w:tab w:val="left" w:pos="4680"/>
          <w:tab w:val="left" w:pos="6080"/>
        </w:tabs>
        <w:autoSpaceDE w:val="0"/>
        <w:autoSpaceDN w:val="0"/>
        <w:adjustRightInd w:val="0"/>
        <w:snapToGrid w:val="0"/>
        <w:spacing w:line="360" w:lineRule="auto"/>
        <w:jc w:val="center"/>
        <w:outlineLvl w:val="0"/>
        <w:rPr>
          <w:rFonts w:ascii="宋体" w:hAnsi="宋体" w:cs="宋体"/>
          <w:b/>
          <w:kern w:val="0"/>
          <w:sz w:val="28"/>
          <w:szCs w:val="28"/>
        </w:rPr>
      </w:pPr>
      <w:r>
        <w:rPr>
          <w:rFonts w:hint="eastAsia" w:ascii="宋体" w:hAnsi="宋体" w:cs="宋体"/>
          <w:b/>
          <w:w w:val="99"/>
          <w:kern w:val="0"/>
          <w:sz w:val="28"/>
          <w:szCs w:val="28"/>
          <w:u w:val="single"/>
        </w:rPr>
        <w:t xml:space="preserve">     　</w:t>
      </w:r>
      <w:r>
        <w:rPr>
          <w:rFonts w:hint="eastAsia" w:ascii="宋体" w:hAnsi="宋体" w:cs="宋体"/>
          <w:b/>
          <w:w w:val="99"/>
          <w:kern w:val="0"/>
          <w:sz w:val="28"/>
          <w:szCs w:val="28"/>
        </w:rPr>
        <w:t>年</w:t>
      </w:r>
      <w:r>
        <w:rPr>
          <w:rFonts w:hint="eastAsia" w:ascii="宋体" w:hAnsi="宋体" w:cs="宋体"/>
          <w:b/>
          <w:w w:val="99"/>
          <w:kern w:val="0"/>
          <w:sz w:val="28"/>
          <w:szCs w:val="28"/>
          <w:u w:val="single"/>
        </w:rPr>
        <w:t>　</w:t>
      </w:r>
      <w:r>
        <w:rPr>
          <w:rFonts w:hint="eastAsia" w:ascii="宋体" w:hAnsi="宋体" w:cs="宋体"/>
          <w:b/>
          <w:w w:val="99"/>
          <w:kern w:val="0"/>
          <w:sz w:val="28"/>
          <w:szCs w:val="28"/>
        </w:rPr>
        <w:t>月</w:t>
      </w:r>
      <w:r>
        <w:rPr>
          <w:rFonts w:hint="eastAsia" w:ascii="宋体" w:hAnsi="宋体" w:cs="宋体"/>
          <w:b/>
          <w:w w:val="99"/>
          <w:kern w:val="0"/>
          <w:sz w:val="28"/>
          <w:szCs w:val="28"/>
          <w:u w:val="single"/>
        </w:rPr>
        <w:t>　</w:t>
      </w:r>
      <w:r>
        <w:rPr>
          <w:rFonts w:hint="eastAsia" w:ascii="宋体" w:hAnsi="宋体" w:cs="宋体"/>
          <w:b/>
          <w:w w:val="99"/>
          <w:kern w:val="0"/>
          <w:sz w:val="28"/>
          <w:szCs w:val="28"/>
        </w:rPr>
        <w:t>日</w:t>
      </w:r>
    </w:p>
    <w:p>
      <w:pPr>
        <w:pStyle w:val="2"/>
      </w:pPr>
    </w:p>
    <w:p>
      <w:pPr>
        <w:pStyle w:val="17"/>
        <w:jc w:val="both"/>
        <w:rPr>
          <w:rFonts w:ascii="方正黑体_GBK" w:hAnsi="方正黑体_GBK" w:eastAsia="方正黑体_GBK" w:cs="方正黑体_GBK"/>
          <w:sz w:val="32"/>
          <w:szCs w:val="32"/>
          <w:lang w:eastAsia="zh-CN"/>
        </w:rPr>
      </w:pPr>
    </w:p>
    <w:p/>
    <w:p>
      <w:pPr>
        <w:spacing w:line="594" w:lineRule="exact"/>
        <w:ind w:firstLine="640" w:firstLineChars="200"/>
        <w:outlineLvl w:val="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（一）应选人须提交的材料目录：</w:t>
      </w:r>
    </w:p>
    <w:p>
      <w:pPr>
        <w:spacing w:line="594" w:lineRule="exact"/>
        <w:ind w:firstLine="640" w:firstLineChars="200"/>
      </w:pPr>
      <w:r>
        <w:rPr>
          <w:rFonts w:ascii="Times New Roman" w:hAnsi="Times New Roman" w:eastAsia="方正仿宋_GBK"/>
          <w:sz w:val="32"/>
          <w:szCs w:val="32"/>
        </w:rPr>
        <w:t xml:space="preserve">1. </w:t>
      </w:r>
      <w:r>
        <w:rPr>
          <w:rFonts w:hint="eastAsia" w:eastAsia="方正仿宋_GBK"/>
          <w:sz w:val="32"/>
          <w:szCs w:val="32"/>
        </w:rPr>
        <w:t>应选</w:t>
      </w:r>
      <w:r>
        <w:rPr>
          <w:rFonts w:eastAsia="方正仿宋_GBK"/>
          <w:sz w:val="32"/>
          <w:szCs w:val="32"/>
        </w:rPr>
        <w:t>函及报价函</w:t>
      </w:r>
    </w:p>
    <w:p>
      <w:pPr>
        <w:spacing w:line="594"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 xml:space="preserve">2. </w:t>
      </w:r>
      <w:r>
        <w:rPr>
          <w:rFonts w:hint="eastAsia" w:ascii="Times New Roman" w:hAnsi="Times New Roman" w:eastAsia="方正仿宋_GBK"/>
          <w:sz w:val="32"/>
          <w:szCs w:val="32"/>
        </w:rPr>
        <w:t>应选人有效营业执照（复印件）</w:t>
      </w:r>
    </w:p>
    <w:p>
      <w:pPr>
        <w:spacing w:line="594" w:lineRule="exact"/>
        <w:ind w:firstLine="640" w:firstLineChars="200"/>
        <w:rPr>
          <w:rFonts w:eastAsia="方正仿宋_GBK"/>
          <w:sz w:val="32"/>
          <w:szCs w:val="32"/>
        </w:rPr>
      </w:pPr>
      <w:r>
        <w:rPr>
          <w:rFonts w:hint="eastAsia" w:ascii="Times New Roman" w:hAnsi="Times New Roman" w:eastAsia="方正仿宋_GBK"/>
          <w:sz w:val="32"/>
          <w:szCs w:val="32"/>
        </w:rPr>
        <w:t>3</w:t>
      </w:r>
      <w:r>
        <w:rPr>
          <w:rFonts w:hint="eastAsia" w:eastAsia="方正仿宋_GBK"/>
          <w:sz w:val="32"/>
          <w:szCs w:val="32"/>
        </w:rPr>
        <w:t xml:space="preserve">. </w:t>
      </w:r>
      <w:r>
        <w:rPr>
          <w:rFonts w:eastAsia="方正仿宋_GBK"/>
          <w:sz w:val="32"/>
          <w:szCs w:val="32"/>
        </w:rPr>
        <w:t>法定代表人</w:t>
      </w:r>
      <w:r>
        <w:rPr>
          <w:rFonts w:hint="eastAsia" w:ascii="Times New Roman" w:hAnsi="Times New Roman" w:eastAsia="方正仿宋_GBK"/>
          <w:sz w:val="32"/>
          <w:szCs w:val="32"/>
        </w:rPr>
        <w:t>身份证明书及法人授权委托书</w:t>
      </w:r>
    </w:p>
    <w:p>
      <w:pPr>
        <w:spacing w:line="594" w:lineRule="exact"/>
        <w:ind w:firstLine="640" w:firstLineChars="200"/>
        <w:rPr>
          <w:rFonts w:eastAsia="方正仿宋_GBK"/>
          <w:sz w:val="32"/>
          <w:szCs w:val="32"/>
        </w:rPr>
      </w:pPr>
      <w:r>
        <w:rPr>
          <w:rFonts w:hint="eastAsia" w:ascii="Times New Roman" w:hAnsi="Times New Roman" w:eastAsia="方正仿宋_GBK"/>
          <w:sz w:val="32"/>
          <w:szCs w:val="32"/>
        </w:rPr>
        <w:t>4</w:t>
      </w:r>
      <w:r>
        <w:rPr>
          <w:rFonts w:ascii="Times New Roman" w:hAnsi="Times New Roman" w:eastAsia="方正仿宋_GBK"/>
          <w:sz w:val="32"/>
          <w:szCs w:val="32"/>
        </w:rPr>
        <w:t xml:space="preserve">. </w:t>
      </w:r>
      <w:r>
        <w:rPr>
          <w:rFonts w:hint="eastAsia" w:ascii="Times New Roman" w:hAnsi="Times New Roman" w:eastAsia="方正仿宋_GBK"/>
          <w:sz w:val="32"/>
          <w:szCs w:val="32"/>
        </w:rPr>
        <w:t>资格审查资料</w:t>
      </w:r>
    </w:p>
    <w:p>
      <w:pPr>
        <w:tabs>
          <w:tab w:val="left" w:pos="1050"/>
          <w:tab w:val="left" w:pos="1470"/>
        </w:tabs>
        <w:adjustRightInd w:val="0"/>
        <w:snapToGrid w:val="0"/>
        <w:spacing w:line="594"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5</w:t>
      </w:r>
      <w:r>
        <w:rPr>
          <w:rFonts w:ascii="Times New Roman" w:hAnsi="Times New Roman" w:eastAsia="方正仿宋_GBK"/>
          <w:sz w:val="32"/>
          <w:szCs w:val="32"/>
        </w:rPr>
        <w:t xml:space="preserve">. </w:t>
      </w:r>
      <w:r>
        <w:rPr>
          <w:rFonts w:hint="eastAsia" w:ascii="Times New Roman" w:hAnsi="Times New Roman" w:eastAsia="方正仿宋_GBK"/>
          <w:sz w:val="32"/>
          <w:szCs w:val="32"/>
        </w:rPr>
        <w:t>评选办法中要求提供的资料</w:t>
      </w:r>
    </w:p>
    <w:p>
      <w:pPr>
        <w:numPr>
          <w:ilvl w:val="255"/>
          <w:numId w:val="0"/>
        </w:numPr>
        <w:tabs>
          <w:tab w:val="left" w:pos="1050"/>
          <w:tab w:val="left" w:pos="1470"/>
        </w:tabs>
        <w:adjustRightInd w:val="0"/>
        <w:snapToGrid w:val="0"/>
        <w:spacing w:line="594" w:lineRule="exact"/>
        <w:ind w:firstLine="640" w:firstLineChars="200"/>
        <w:rPr>
          <w:rFonts w:ascii="方正仿宋_GBK" w:hAnsi="方正仿宋_GBK" w:eastAsia="方正仿宋_GBK" w:cs="方正仿宋_GBK"/>
          <w:sz w:val="32"/>
          <w:szCs w:val="32"/>
        </w:rPr>
      </w:pPr>
      <w:r>
        <w:rPr>
          <w:rFonts w:ascii="Times New Roman" w:hAnsi="Times New Roman" w:eastAsia="方正仿宋_GBK"/>
          <w:sz w:val="32"/>
          <w:szCs w:val="32"/>
        </w:rPr>
        <w:t>6.</w:t>
      </w:r>
      <w:r>
        <w:rPr>
          <w:rFonts w:hint="eastAsia" w:eastAsia="方正仿宋_GBK"/>
          <w:sz w:val="32"/>
          <w:szCs w:val="32"/>
        </w:rPr>
        <w:t xml:space="preserve"> 应选人</w:t>
      </w:r>
      <w:r>
        <w:rPr>
          <w:rFonts w:hint="eastAsia" w:ascii="方正仿宋_GBK" w:hAnsi="方正仿宋_GBK" w:eastAsia="方正仿宋_GBK" w:cs="方正仿宋_GBK"/>
          <w:sz w:val="32"/>
          <w:szCs w:val="32"/>
        </w:rPr>
        <w:t>认为需要提交的其他材料</w:t>
      </w: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rPr>
          <w:rFonts w:eastAsia="方正仿宋_GBK"/>
          <w:sz w:val="32"/>
          <w:szCs w:val="32"/>
        </w:rPr>
      </w:pPr>
    </w:p>
    <w:p>
      <w:pPr>
        <w:pStyle w:val="6"/>
        <w:rPr>
          <w:rFonts w:eastAsia="方正仿宋_GBK"/>
          <w:sz w:val="32"/>
          <w:szCs w:val="32"/>
        </w:rPr>
      </w:pPr>
      <w:bookmarkStart w:id="229" w:name="_GoBack"/>
      <w:bookmarkEnd w:id="229"/>
    </w:p>
    <w:p>
      <w:pPr>
        <w:pStyle w:val="6"/>
        <w:rPr>
          <w:rFonts w:eastAsia="方正仿宋_GBK"/>
          <w:sz w:val="32"/>
          <w:szCs w:val="32"/>
        </w:rPr>
      </w:pPr>
    </w:p>
    <w:p>
      <w:pPr>
        <w:pStyle w:val="6"/>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1.应选函及报价函</w:t>
      </w:r>
    </w:p>
    <w:p>
      <w:pPr>
        <w:adjustRightInd w:val="0"/>
        <w:snapToGrid w:val="0"/>
        <w:spacing w:line="594" w:lineRule="exact"/>
        <w:jc w:val="center"/>
        <w:rPr>
          <w:rFonts w:eastAsia="方正小标宋_GBK"/>
          <w:sz w:val="44"/>
          <w:szCs w:val="44"/>
        </w:rPr>
      </w:pPr>
      <w:r>
        <w:rPr>
          <w:rFonts w:hint="eastAsia" w:eastAsia="方正小标宋_GBK"/>
          <w:sz w:val="44"/>
          <w:szCs w:val="44"/>
        </w:rPr>
        <w:t xml:space="preserve">应 选 </w:t>
      </w:r>
      <w:r>
        <w:rPr>
          <w:rFonts w:eastAsia="方正小标宋_GBK"/>
          <w:sz w:val="44"/>
          <w:szCs w:val="44"/>
        </w:rPr>
        <w:t>函</w:t>
      </w:r>
    </w:p>
    <w:p>
      <w:pPr>
        <w:adjustRightInd w:val="0"/>
        <w:snapToGrid w:val="0"/>
        <w:spacing w:line="594" w:lineRule="exact"/>
        <w:rPr>
          <w:rFonts w:eastAsia="方正仿宋_GBK"/>
          <w:sz w:val="32"/>
          <w:szCs w:val="32"/>
        </w:rPr>
      </w:pPr>
    </w:p>
    <w:p>
      <w:pPr>
        <w:pStyle w:val="6"/>
        <w:rPr>
          <w:rFonts w:eastAsia="方正仿宋_GBK"/>
          <w:sz w:val="32"/>
          <w:szCs w:val="32"/>
        </w:rPr>
      </w:pPr>
      <w:r>
        <w:rPr>
          <w:rFonts w:hint="eastAsia" w:eastAsia="方正仿宋_GBK"/>
          <w:sz w:val="32"/>
          <w:szCs w:val="32"/>
        </w:rPr>
        <w:t>致：重庆市上桥粮食中转库有限责任公司</w:t>
      </w:r>
    </w:p>
    <w:p>
      <w:pPr>
        <w:pStyle w:val="6"/>
        <w:ind w:firstLine="640" w:firstLineChars="200"/>
        <w:rPr>
          <w:rFonts w:eastAsia="方正仿宋_GBK"/>
          <w:sz w:val="32"/>
          <w:szCs w:val="32"/>
        </w:rPr>
      </w:pPr>
      <w:r>
        <w:rPr>
          <w:rFonts w:hint="eastAsia" w:eastAsia="方正仿宋_GBK"/>
          <w:sz w:val="32"/>
          <w:szCs w:val="32"/>
        </w:rPr>
        <w:t>一、我公司，决定参加重庆市上桥粮食中转库有限责任公司补充医疗保险项目的比选。</w:t>
      </w:r>
    </w:p>
    <w:p>
      <w:pPr>
        <w:pStyle w:val="6"/>
        <w:ind w:firstLine="640" w:firstLineChars="200"/>
        <w:rPr>
          <w:rFonts w:eastAsia="方正仿宋_GBK"/>
          <w:sz w:val="32"/>
          <w:szCs w:val="32"/>
        </w:rPr>
      </w:pPr>
      <w:r>
        <w:rPr>
          <w:rFonts w:hint="eastAsia" w:eastAsia="方正仿宋_GBK"/>
          <w:sz w:val="32"/>
          <w:szCs w:val="32"/>
        </w:rPr>
        <w:t>二、我公司承诺，在评比过程中获知的贵司补充医疗保险相关资料，仅限于本次参选所用，不会用于任何与本次项目无关的用途。</w:t>
      </w:r>
    </w:p>
    <w:p>
      <w:pPr>
        <w:pStyle w:val="6"/>
        <w:ind w:firstLine="640" w:firstLineChars="200"/>
        <w:rPr>
          <w:rFonts w:eastAsia="方正仿宋_GBK"/>
          <w:sz w:val="32"/>
          <w:szCs w:val="32"/>
        </w:rPr>
      </w:pPr>
      <w:r>
        <w:rPr>
          <w:rFonts w:hint="eastAsia" w:eastAsia="方正仿宋_GBK"/>
          <w:sz w:val="32"/>
          <w:szCs w:val="32"/>
        </w:rPr>
        <w:t>三、我公司承诺，向贵司以及评审小组提供的所有材料内容真实、准确，没有任何虚假、误导性陈述和记载，没有故意隐瞒与选择企业补充医疗保险有关的重要事实。如承诺不实，我公司自动放弃参选资格，并赔偿由此给贵司或贵司补充医疗保险造成的任何损失或费用。</w:t>
      </w:r>
    </w:p>
    <w:p>
      <w:pPr>
        <w:pStyle w:val="6"/>
        <w:ind w:firstLine="640" w:firstLineChars="200"/>
        <w:rPr>
          <w:rFonts w:eastAsia="方正仿宋_GBK"/>
          <w:sz w:val="32"/>
          <w:szCs w:val="32"/>
        </w:rPr>
      </w:pPr>
      <w:r>
        <w:rPr>
          <w:rFonts w:hint="eastAsia" w:eastAsia="方正仿宋_GBK"/>
          <w:sz w:val="32"/>
          <w:szCs w:val="32"/>
        </w:rPr>
        <w:t>四、我公司完全理解，贵方有权选择任何一家应选人。</w:t>
      </w:r>
    </w:p>
    <w:p>
      <w:pPr>
        <w:pStyle w:val="6"/>
        <w:ind w:firstLine="640" w:firstLineChars="200"/>
        <w:rPr>
          <w:rFonts w:eastAsia="方正仿宋_GBK"/>
          <w:sz w:val="32"/>
          <w:szCs w:val="32"/>
        </w:rPr>
      </w:pPr>
      <w:r>
        <w:rPr>
          <w:rFonts w:hint="eastAsia" w:eastAsia="方正仿宋_GBK"/>
          <w:sz w:val="32"/>
          <w:szCs w:val="32"/>
        </w:rPr>
        <w:t>五、我司承诺我司：</w:t>
      </w:r>
    </w:p>
    <w:p>
      <w:pPr>
        <w:pStyle w:val="6"/>
        <w:ind w:firstLine="640" w:firstLineChars="200"/>
        <w:rPr>
          <w:rFonts w:hint="eastAsia" w:eastAsia="方正仿宋_GBK"/>
          <w:sz w:val="32"/>
          <w:szCs w:val="32"/>
        </w:rPr>
      </w:pPr>
      <w:r>
        <w:rPr>
          <w:rFonts w:hint="eastAsia" w:eastAsia="方正仿宋_GBK"/>
          <w:sz w:val="32"/>
          <w:szCs w:val="32"/>
        </w:rPr>
        <w:t>1.具有独立承担民事责任的能力；</w:t>
      </w:r>
    </w:p>
    <w:p>
      <w:pPr>
        <w:pStyle w:val="6"/>
        <w:ind w:firstLine="640" w:firstLineChars="200"/>
        <w:rPr>
          <w:rFonts w:hint="eastAsia" w:eastAsia="方正仿宋_GBK"/>
          <w:sz w:val="32"/>
          <w:szCs w:val="32"/>
        </w:rPr>
      </w:pPr>
      <w:r>
        <w:rPr>
          <w:rFonts w:hint="eastAsia" w:eastAsia="方正仿宋_GBK"/>
          <w:sz w:val="32"/>
          <w:szCs w:val="32"/>
        </w:rPr>
        <w:t>2.具有良好的商业信誉和健全的财务会计制度；</w:t>
      </w:r>
    </w:p>
    <w:p>
      <w:pPr>
        <w:pStyle w:val="6"/>
        <w:ind w:firstLine="640" w:firstLineChars="200"/>
        <w:rPr>
          <w:rFonts w:hint="eastAsia" w:eastAsia="方正仿宋_GBK"/>
          <w:sz w:val="32"/>
          <w:szCs w:val="32"/>
        </w:rPr>
      </w:pPr>
      <w:r>
        <w:rPr>
          <w:rFonts w:hint="eastAsia" w:eastAsia="方正仿宋_GBK"/>
          <w:sz w:val="32"/>
          <w:szCs w:val="32"/>
        </w:rPr>
        <w:t>3.具有履行合同所必需的材料资源、售后保障等能力；</w:t>
      </w:r>
    </w:p>
    <w:p>
      <w:pPr>
        <w:pStyle w:val="6"/>
        <w:ind w:firstLine="640" w:firstLineChars="200"/>
        <w:rPr>
          <w:rFonts w:hint="eastAsia" w:eastAsia="方正仿宋_GBK"/>
          <w:sz w:val="32"/>
          <w:szCs w:val="32"/>
        </w:rPr>
      </w:pPr>
      <w:r>
        <w:rPr>
          <w:rFonts w:hint="eastAsia" w:eastAsia="方正仿宋_GBK"/>
          <w:sz w:val="32"/>
          <w:szCs w:val="32"/>
        </w:rPr>
        <w:t>4.有依法缴纳税收和社会保障资金的良好记录；</w:t>
      </w:r>
    </w:p>
    <w:p>
      <w:pPr>
        <w:pStyle w:val="6"/>
        <w:ind w:left="630" w:leftChars="300" w:firstLine="0" w:firstLineChars="0"/>
        <w:rPr>
          <w:rFonts w:eastAsia="方正仿宋_GBK"/>
          <w:sz w:val="32"/>
          <w:szCs w:val="32"/>
        </w:rPr>
      </w:pPr>
      <w:r>
        <w:rPr>
          <w:rFonts w:hint="eastAsia" w:eastAsia="方正仿宋_GBK"/>
          <w:sz w:val="32"/>
          <w:szCs w:val="32"/>
        </w:rPr>
        <w:t>5.参加本次比选活动近三年内，在经营活动中没有重大违法记录。六、我司承诺中标后需配备充足、稳定、高素质的项目经理和专业团队，并在合同期内保持相对稳定，确保能够提供专业、高效的保险理赔服务。</w:t>
      </w:r>
    </w:p>
    <w:p>
      <w:pPr>
        <w:pStyle w:val="6"/>
        <w:ind w:left="630" w:leftChars="300"/>
        <w:rPr>
          <w:rFonts w:eastAsia="方正仿宋_GBK"/>
          <w:sz w:val="32"/>
          <w:szCs w:val="32"/>
        </w:rPr>
      </w:pPr>
      <w:r>
        <w:rPr>
          <w:rFonts w:hint="eastAsia" w:eastAsia="方正仿宋_GBK"/>
          <w:sz w:val="32"/>
          <w:szCs w:val="32"/>
        </w:rPr>
        <w:t>七、我司承诺近三年内无违反执业道德和违法执业行为。</w:t>
      </w:r>
    </w:p>
    <w:p>
      <w:pPr>
        <w:pStyle w:val="6"/>
        <w:ind w:left="630" w:leftChars="300"/>
        <w:rPr>
          <w:rFonts w:hint="eastAsia" w:eastAsia="方正仿宋_GBK"/>
          <w:sz w:val="32"/>
          <w:szCs w:val="32"/>
        </w:rPr>
      </w:pPr>
      <w:r>
        <w:rPr>
          <w:rFonts w:hint="eastAsia" w:eastAsia="方正仿宋_GBK"/>
          <w:sz w:val="32"/>
          <w:szCs w:val="32"/>
        </w:rPr>
        <w:t>八、我司承诺我司在2021年1月1日至今，我司满足以下信誉要求：</w:t>
      </w:r>
    </w:p>
    <w:p>
      <w:pPr>
        <w:pStyle w:val="6"/>
        <w:ind w:left="630" w:leftChars="300"/>
        <w:rPr>
          <w:rFonts w:hint="eastAsia" w:eastAsia="方正仿宋_GBK"/>
          <w:sz w:val="32"/>
          <w:szCs w:val="32"/>
        </w:rPr>
      </w:pPr>
      <w:r>
        <w:rPr>
          <w:rFonts w:hint="eastAsia" w:eastAsia="方正仿宋_GBK"/>
          <w:sz w:val="32"/>
          <w:szCs w:val="32"/>
        </w:rPr>
        <w:t>（1）无重要毁约、无故弃标的不良记录；</w:t>
      </w:r>
    </w:p>
    <w:p>
      <w:pPr>
        <w:pStyle w:val="6"/>
        <w:ind w:left="630" w:leftChars="300"/>
        <w:rPr>
          <w:rFonts w:hint="eastAsia" w:eastAsia="方正仿宋_GBK"/>
          <w:sz w:val="32"/>
          <w:szCs w:val="32"/>
        </w:rPr>
      </w:pPr>
      <w:r>
        <w:rPr>
          <w:rFonts w:hint="eastAsia" w:eastAsia="方正仿宋_GBK"/>
          <w:sz w:val="32"/>
          <w:szCs w:val="32"/>
        </w:rPr>
        <w:t>（2）无重大质量事故、安全事故记录；</w:t>
      </w:r>
    </w:p>
    <w:p>
      <w:pPr>
        <w:pStyle w:val="6"/>
        <w:ind w:left="630" w:leftChars="300"/>
        <w:rPr>
          <w:rFonts w:hint="eastAsia" w:eastAsia="方正仿宋_GBK"/>
          <w:sz w:val="32"/>
          <w:szCs w:val="32"/>
        </w:rPr>
      </w:pPr>
      <w:r>
        <w:rPr>
          <w:rFonts w:hint="eastAsia" w:eastAsia="方正仿宋_GBK"/>
          <w:sz w:val="32"/>
          <w:szCs w:val="32"/>
        </w:rPr>
        <w:t>（3）没有过以他人名义投标或以其他方式弄虚作假，骗取中选行为；</w:t>
      </w:r>
    </w:p>
    <w:p>
      <w:pPr>
        <w:pStyle w:val="6"/>
        <w:ind w:left="630" w:leftChars="300"/>
        <w:rPr>
          <w:rFonts w:hint="eastAsia" w:eastAsia="方正仿宋_GBK"/>
          <w:sz w:val="32"/>
          <w:szCs w:val="32"/>
        </w:rPr>
      </w:pPr>
      <w:r>
        <w:rPr>
          <w:rFonts w:hint="eastAsia" w:eastAsia="方正仿宋_GBK"/>
          <w:sz w:val="32"/>
          <w:szCs w:val="32"/>
        </w:rPr>
        <w:t>（4）未被责令停业或在破产状态的；</w:t>
      </w:r>
    </w:p>
    <w:p>
      <w:pPr>
        <w:pStyle w:val="6"/>
        <w:ind w:left="630" w:leftChars="300"/>
        <w:rPr>
          <w:rFonts w:hint="eastAsia" w:eastAsia="方正仿宋_GBK"/>
          <w:sz w:val="32"/>
          <w:szCs w:val="32"/>
        </w:rPr>
      </w:pPr>
      <w:r>
        <w:rPr>
          <w:rFonts w:hint="eastAsia" w:eastAsia="方正仿宋_GBK"/>
          <w:sz w:val="32"/>
          <w:szCs w:val="32"/>
        </w:rPr>
        <w:t>（5）财产未被重组、接管、查封、扣押或冻结的；</w:t>
      </w:r>
    </w:p>
    <w:p>
      <w:pPr>
        <w:pStyle w:val="6"/>
        <w:ind w:left="630" w:leftChars="300"/>
        <w:rPr>
          <w:rFonts w:hint="eastAsia" w:eastAsia="方正仿宋_GBK"/>
          <w:sz w:val="32"/>
          <w:szCs w:val="32"/>
        </w:rPr>
      </w:pPr>
      <w:r>
        <w:rPr>
          <w:rFonts w:hint="eastAsia" w:eastAsia="方正仿宋_GBK"/>
          <w:sz w:val="32"/>
          <w:szCs w:val="32"/>
        </w:rPr>
        <w:t>（6）未被最高人民法院在“信用中国”网站或各级信用信息共享平台中列入失信被执行人名单；</w:t>
      </w:r>
    </w:p>
    <w:p>
      <w:pPr>
        <w:pStyle w:val="6"/>
        <w:ind w:left="630" w:leftChars="300" w:firstLine="0" w:firstLineChars="0"/>
        <w:rPr>
          <w:rFonts w:hint="eastAsia" w:eastAsia="方正仿宋_GBK"/>
          <w:sz w:val="32"/>
          <w:szCs w:val="32"/>
        </w:rPr>
      </w:pPr>
      <w:r>
        <w:rPr>
          <w:rFonts w:hint="eastAsia" w:eastAsia="方正仿宋_GBK"/>
          <w:sz w:val="32"/>
          <w:szCs w:val="32"/>
        </w:rPr>
        <w:t>（7）我司或其法定代表人、拟委任的项目负责人无行贿犯罪行为。</w:t>
      </w:r>
    </w:p>
    <w:p>
      <w:pPr>
        <w:pStyle w:val="6"/>
        <w:adjustRightInd w:val="0"/>
        <w:snapToGrid w:val="0"/>
        <w:spacing w:line="594" w:lineRule="exact"/>
        <w:ind w:left="1890" w:leftChars="900" w:right="640" w:firstLine="640" w:firstLineChars="200"/>
        <w:jc w:val="left"/>
        <w:rPr>
          <w:rFonts w:eastAsia="方正仿宋_GBK"/>
          <w:sz w:val="32"/>
          <w:szCs w:val="32"/>
        </w:rPr>
      </w:pPr>
      <w:r>
        <w:rPr>
          <w:rFonts w:hint="eastAsia" w:eastAsia="方正仿宋_GBK"/>
          <w:sz w:val="32"/>
          <w:szCs w:val="32"/>
        </w:rPr>
        <w:t>九、我公司向贵方承诺以上条款自签署之日起生效。</w:t>
      </w:r>
    </w:p>
    <w:p>
      <w:pPr>
        <w:adjustRightInd w:val="0"/>
        <w:snapToGrid w:val="0"/>
        <w:spacing w:line="594" w:lineRule="exact"/>
        <w:ind w:left="1890" w:leftChars="900" w:right="640"/>
        <w:jc w:val="left"/>
        <w:rPr>
          <w:rFonts w:eastAsia="方正仿宋_GBK"/>
          <w:sz w:val="32"/>
          <w:szCs w:val="32"/>
        </w:rPr>
      </w:pPr>
      <w:r>
        <w:rPr>
          <w:rFonts w:hint="eastAsia" w:eastAsia="方正仿宋_GBK"/>
          <w:sz w:val="32"/>
          <w:szCs w:val="32"/>
        </w:rPr>
        <w:t>应选</w:t>
      </w:r>
      <w:r>
        <w:rPr>
          <w:rFonts w:eastAsia="方正仿宋_GBK"/>
          <w:sz w:val="32"/>
          <w:szCs w:val="32"/>
        </w:rPr>
        <w:t>单位：</w:t>
      </w:r>
      <w:r>
        <w:rPr>
          <w:rFonts w:hint="eastAsia" w:ascii="方正仿宋_GBK" w:hAnsi="方正仿宋_GBK" w:eastAsia="方正仿宋_GBK" w:cs="方正仿宋_GBK"/>
          <w:sz w:val="32"/>
          <w:szCs w:val="32"/>
          <w:u w:val="single"/>
        </w:rPr>
        <w:t xml:space="preserve"> （填写单位名称并盖单位鲜章）</w:t>
      </w:r>
    </w:p>
    <w:p>
      <w:pPr>
        <w:adjustRightInd w:val="0"/>
        <w:snapToGrid w:val="0"/>
        <w:spacing w:line="594" w:lineRule="exact"/>
        <w:ind w:left="1890" w:leftChars="900" w:right="640"/>
        <w:jc w:val="left"/>
        <w:rPr>
          <w:rFonts w:eastAsia="方正仿宋_GBK"/>
          <w:sz w:val="32"/>
          <w:szCs w:val="32"/>
        </w:rPr>
      </w:pPr>
      <w:r>
        <w:rPr>
          <w:rFonts w:hint="eastAsia" w:ascii="方正仿宋_GBK" w:hAnsi="方正仿宋_GBK" w:eastAsia="方正仿宋_GBK" w:cs="方正仿宋_GBK"/>
          <w:sz w:val="32"/>
          <w:szCs w:val="32"/>
        </w:rPr>
        <w:t>法定代表人或者委托代理人：</w:t>
      </w:r>
      <w:r>
        <w:rPr>
          <w:rFonts w:hint="eastAsia" w:ascii="方正仿宋_GBK" w:hAnsi="方正仿宋_GBK" w:eastAsia="方正仿宋_GBK" w:cs="方正仿宋_GBK"/>
          <w:sz w:val="32"/>
          <w:szCs w:val="32"/>
          <w:u w:val="single"/>
        </w:rPr>
        <w:t xml:space="preserve">   （签字）  </w:t>
      </w:r>
    </w:p>
    <w:p>
      <w:pPr>
        <w:adjustRightInd w:val="0"/>
        <w:snapToGrid w:val="0"/>
        <w:spacing w:line="594" w:lineRule="exact"/>
        <w:ind w:right="640"/>
        <w:jc w:val="right"/>
        <w:rPr>
          <w:rFonts w:ascii="方正小标宋_GBK" w:hAnsi="方正小标宋_GBK" w:eastAsia="方正小标宋_GBK" w:cs="方正小标宋_GBK"/>
          <w:sz w:val="44"/>
          <w:szCs w:val="44"/>
        </w:rPr>
      </w:pPr>
      <w:r>
        <w:rPr>
          <w:rFonts w:ascii="Times New Roman" w:hAnsi="Times New Roman" w:eastAsia="方正仿宋_GBK"/>
          <w:sz w:val="32"/>
          <w:szCs w:val="32"/>
        </w:rPr>
        <w:t>202</w:t>
      </w:r>
      <w:r>
        <w:rPr>
          <w:rFonts w:hint="eastAsia" w:ascii="Times New Roman" w:hAnsi="Times New Roman" w:eastAsia="方正仿宋_GBK"/>
          <w:sz w:val="32"/>
          <w:szCs w:val="32"/>
        </w:rPr>
        <w:t>4</w:t>
      </w:r>
      <w:r>
        <w:rPr>
          <w:rFonts w:eastAsia="方正仿宋_GBK"/>
          <w:sz w:val="32"/>
          <w:szCs w:val="32"/>
        </w:rPr>
        <w:t>年   月  日</w:t>
      </w:r>
    </w:p>
    <w:p>
      <w:pPr>
        <w:spacing w:line="595"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报 价 函</w:t>
      </w:r>
    </w:p>
    <w:p>
      <w:pPr>
        <w:pStyle w:val="6"/>
        <w:spacing w:line="595" w:lineRule="exact"/>
      </w:pPr>
    </w:p>
    <w:p>
      <w:pPr>
        <w:pStyle w:val="6"/>
        <w:spacing w:line="560" w:lineRule="exact"/>
        <w:jc w:val="left"/>
        <w:rPr>
          <w:rFonts w:ascii="方正仿宋_GBK" w:hAnsi="方正仿宋_GBK" w:eastAsia="方正仿宋_GBK" w:cs="方正仿宋_GBK"/>
          <w:sz w:val="32"/>
          <w:szCs w:val="32"/>
        </w:rPr>
      </w:pPr>
      <w:r>
        <w:rPr>
          <w:rFonts w:hint="eastAsia" w:eastAsia="方正仿宋_GBK"/>
          <w:sz w:val="32"/>
          <w:szCs w:val="32"/>
        </w:rPr>
        <w:t>重庆市上桥粮食中转库有限责任公司</w:t>
      </w:r>
      <w:r>
        <w:rPr>
          <w:rFonts w:hint="eastAsia" w:ascii="方正仿宋_GBK" w:hAnsi="方正仿宋_GBK" w:eastAsia="方正仿宋_GBK" w:cs="方正仿宋_GBK"/>
          <w:sz w:val="32"/>
          <w:szCs w:val="32"/>
        </w:rPr>
        <w:t>：</w:t>
      </w:r>
    </w:p>
    <w:p>
      <w:pPr>
        <w:spacing w:line="560" w:lineRule="exact"/>
        <w:jc w:val="left"/>
        <w:rPr>
          <w:rFonts w:ascii="方正仿宋_GBK" w:hAnsi="方正仿宋_GBK" w:eastAsia="方正仿宋_GBK" w:cs="方正仿宋_GBK"/>
          <w:b/>
          <w:sz w:val="32"/>
          <w:szCs w:val="32"/>
        </w:rPr>
      </w:pPr>
      <w:r>
        <w:rPr>
          <w:rFonts w:hint="eastAsia" w:ascii="方正仿宋_GBK" w:hAnsi="方正仿宋_GBK" w:eastAsia="方正仿宋_GBK" w:cs="方正仿宋_GBK"/>
          <w:sz w:val="32"/>
          <w:szCs w:val="32"/>
        </w:rPr>
        <w:t xml:space="preserve">    我方已仔细研究了</w:t>
      </w:r>
      <w:r>
        <w:rPr>
          <w:rFonts w:hint="eastAsia" w:eastAsia="方正仿宋_GBK"/>
          <w:sz w:val="32"/>
          <w:szCs w:val="32"/>
          <w:u w:val="single"/>
        </w:rPr>
        <w:t>重庆市上桥粮食中转库有限责任公司补充医疗保险项目</w:t>
      </w:r>
      <w:r>
        <w:rPr>
          <w:rFonts w:hint="eastAsia" w:ascii="方正仿宋_GBK" w:hAnsi="方正仿宋_GBK" w:eastAsia="方正仿宋_GBK" w:cs="方正仿宋_GBK"/>
          <w:sz w:val="32"/>
          <w:szCs w:val="32"/>
        </w:rPr>
        <w:t>比选文件的全部内容，我方总报价为</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元/年，其中团体商业险报价为</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元/人/年，特定医疗保险金基数为</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元/人.年，医疗保险金管理费</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 xml:space="preserve"> %。服务期为一年 （具体服务时间为2024年1月1日-2024年12月31日），一年到期后比选人根据中选人服务情况选择是否续签，本项目最多可续签两次。在服务期限内，比选人有权对每年度项目明细、服务期限进行适当调整或终止合同关系。我方愿承担并完成比选文件及合同中要求的工作，并以优质的服务在比选人规定的时期内完成全部工作，在工作过程中，接受比选人的监督、指导，对项目资料严格保密。</w:t>
      </w:r>
    </w:p>
    <w:p>
      <w:pPr>
        <w:pStyle w:val="6"/>
        <w:spacing w:line="560" w:lineRule="exact"/>
        <w:rPr>
          <w:rFonts w:ascii="方正仿宋_GBK" w:hAnsi="方正仿宋_GBK" w:eastAsia="方正仿宋_GBK" w:cs="方正仿宋_GBK"/>
          <w:sz w:val="32"/>
          <w:szCs w:val="32"/>
        </w:rPr>
      </w:pPr>
    </w:p>
    <w:p>
      <w:pPr>
        <w:pStyle w:val="6"/>
        <w:spacing w:line="560" w:lineRule="exact"/>
        <w:rPr>
          <w:rFonts w:ascii="方正仿宋_GBK" w:hAnsi="方正仿宋_GBK" w:eastAsia="方正仿宋_GBK" w:cs="方正仿宋_GBK"/>
          <w:sz w:val="32"/>
          <w:szCs w:val="32"/>
        </w:rPr>
      </w:pPr>
    </w:p>
    <w:p>
      <w:pPr>
        <w:pStyle w:val="6"/>
        <w:spacing w:line="560" w:lineRule="exact"/>
        <w:ind w:left="2100" w:leftChars="10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应选单位：</w:t>
      </w:r>
      <w:r>
        <w:rPr>
          <w:rFonts w:hint="eastAsia" w:ascii="方正仿宋_GBK" w:hAnsi="方正仿宋_GBK" w:eastAsia="方正仿宋_GBK" w:cs="方正仿宋_GBK"/>
          <w:sz w:val="32"/>
          <w:szCs w:val="32"/>
          <w:u w:val="single"/>
        </w:rPr>
        <w:t xml:space="preserve"> （填写单位名称并盖单位鲜章）</w:t>
      </w:r>
    </w:p>
    <w:p>
      <w:pPr>
        <w:pStyle w:val="6"/>
        <w:spacing w:line="560" w:lineRule="exact"/>
        <w:ind w:left="2100" w:leftChars="1000"/>
        <w:jc w:val="left"/>
        <w:rPr>
          <w:rFonts w:ascii="方正仿宋_GBK" w:hAnsi="方正仿宋_GBK" w:eastAsia="方正仿宋_GBK" w:cs="方正仿宋_GBK"/>
          <w:sz w:val="32"/>
          <w:szCs w:val="32"/>
          <w:u w:val="single"/>
        </w:rPr>
      </w:pPr>
      <w:r>
        <w:rPr>
          <w:rFonts w:hint="eastAsia" w:ascii="方正仿宋_GBK" w:hAnsi="方正仿宋_GBK" w:eastAsia="方正仿宋_GBK" w:cs="方正仿宋_GBK"/>
          <w:sz w:val="32"/>
          <w:szCs w:val="32"/>
        </w:rPr>
        <w:t xml:space="preserve">法定代表人或者委托代理人：  </w:t>
      </w:r>
      <w:r>
        <w:rPr>
          <w:rFonts w:hint="eastAsia" w:ascii="方正仿宋_GBK" w:hAnsi="方正仿宋_GBK" w:eastAsia="方正仿宋_GBK" w:cs="方正仿宋_GBK"/>
          <w:sz w:val="32"/>
          <w:szCs w:val="32"/>
          <w:u w:val="single"/>
        </w:rPr>
        <w:t xml:space="preserve">     （签字） </w:t>
      </w:r>
    </w:p>
    <w:p>
      <w:pPr>
        <w:pStyle w:val="6"/>
        <w:spacing w:line="560" w:lineRule="exact"/>
        <w:ind w:left="598" w:leftChars="285"/>
        <w:jc w:val="right"/>
        <w:rPr>
          <w:rFonts w:ascii="方正仿宋_GBK" w:hAnsi="方正仿宋_GBK" w:eastAsia="方正仿宋_GBK" w:cs="方正仿宋_GBK"/>
          <w:sz w:val="32"/>
          <w:szCs w:val="32"/>
        </w:rPr>
      </w:pPr>
    </w:p>
    <w:p>
      <w:pPr>
        <w:pStyle w:val="6"/>
        <w:spacing w:line="560" w:lineRule="exact"/>
        <w:ind w:left="598" w:leftChars="285"/>
        <w:jc w:val="right"/>
        <w:rPr>
          <w:rFonts w:ascii="方正仿宋_GBK" w:hAnsi="方正仿宋_GBK" w:eastAsia="方正仿宋_GBK" w:cs="方正仿宋_GBK"/>
          <w:sz w:val="32"/>
          <w:szCs w:val="32"/>
        </w:rPr>
      </w:pPr>
      <w:r>
        <w:rPr>
          <w:rFonts w:ascii="Times New Roman" w:hAnsi="Times New Roman" w:eastAsia="方正仿宋_GBK" w:cs="Times New Roman"/>
          <w:sz w:val="32"/>
          <w:szCs w:val="32"/>
        </w:rPr>
        <w:t>202</w:t>
      </w:r>
      <w:r>
        <w:rPr>
          <w:rFonts w:hint="eastAsia" w:ascii="Times New Roman" w:hAnsi="Times New Roman" w:eastAsia="方正仿宋_GBK" w:cs="Times New Roman"/>
          <w:sz w:val="32"/>
          <w:szCs w:val="32"/>
        </w:rPr>
        <w:t>4</w:t>
      </w:r>
      <w:r>
        <w:rPr>
          <w:rFonts w:hint="eastAsia" w:ascii="方正仿宋_GBK" w:hAnsi="方正仿宋_GBK" w:eastAsia="方正仿宋_GBK" w:cs="方正仿宋_GBK"/>
          <w:sz w:val="32"/>
          <w:szCs w:val="32"/>
        </w:rPr>
        <w:t>年   月   日</w:t>
      </w:r>
    </w:p>
    <w:p/>
    <w:p>
      <w:pPr>
        <w:pStyle w:val="6"/>
        <w:rPr>
          <w:rFonts w:ascii="宋体" w:hAnsi="宋体"/>
          <w:b/>
          <w:bCs/>
          <w:kern w:val="0"/>
          <w:szCs w:val="21"/>
        </w:rPr>
      </w:pPr>
    </w:p>
    <w:p>
      <w:pPr>
        <w:pStyle w:val="6"/>
        <w:rPr>
          <w:rFonts w:ascii="宋体" w:hAnsi="宋体"/>
          <w:b/>
          <w:bCs/>
          <w:kern w:val="0"/>
          <w:szCs w:val="21"/>
        </w:rPr>
      </w:pPr>
      <w:r>
        <w:rPr>
          <w:rFonts w:hint="eastAsia" w:ascii="宋体" w:hAnsi="宋体"/>
          <w:b/>
          <w:bCs/>
          <w:kern w:val="0"/>
          <w:szCs w:val="21"/>
        </w:rPr>
        <w:t>附件一：职工团体补充医疗保险项目明细及报价表（详见附件）</w:t>
      </w:r>
    </w:p>
    <w:p>
      <w:pPr>
        <w:rPr>
          <w:rFonts w:ascii="宋体" w:hAnsi="宋体"/>
          <w:b/>
          <w:bCs/>
          <w:kern w:val="0"/>
          <w:szCs w:val="21"/>
        </w:rPr>
      </w:pPr>
    </w:p>
    <w:p>
      <w:pPr>
        <w:pStyle w:val="6"/>
        <w:rPr>
          <w:rFonts w:ascii="宋体" w:hAnsi="宋体"/>
          <w:b/>
          <w:bCs/>
          <w:kern w:val="0"/>
          <w:szCs w:val="21"/>
        </w:rPr>
      </w:pPr>
    </w:p>
    <w:p>
      <w:pPr>
        <w:keepNext/>
        <w:keepLines/>
        <w:snapToGrid w:val="0"/>
        <w:spacing w:line="594" w:lineRule="exact"/>
        <w:ind w:right="210" w:rightChars="100"/>
        <w:jc w:val="left"/>
        <w:outlineLvl w:val="1"/>
        <w:rPr>
          <w:rFonts w:ascii="方正黑体_GBK" w:hAnsi="方正黑体_GBK" w:eastAsia="方正黑体_GBK" w:cs="方正黑体_GBK"/>
          <w:bCs/>
          <w:sz w:val="32"/>
          <w:szCs w:val="32"/>
        </w:rPr>
      </w:pPr>
      <w:r>
        <w:rPr>
          <w:rFonts w:ascii="Times New Roman" w:hAnsi="Times New Roman" w:eastAsia="方正仿宋_GBK"/>
          <w:sz w:val="32"/>
          <w:szCs w:val="32"/>
        </w:rPr>
        <w:t>2.</w:t>
      </w:r>
      <w:r>
        <w:rPr>
          <w:rFonts w:hint="eastAsia" w:ascii="方正黑体_GBK" w:hAnsi="方正黑体_GBK" w:eastAsia="方正黑体_GBK" w:cs="方正黑体_GBK"/>
          <w:bCs/>
          <w:sz w:val="32"/>
          <w:szCs w:val="32"/>
        </w:rPr>
        <w:t>应选人有效营业执照（复印件）</w:t>
      </w:r>
    </w:p>
    <w:p>
      <w:pPr>
        <w:pStyle w:val="6"/>
        <w:rPr>
          <w:rFonts w:eastAsia="方正仿宋_GBK"/>
          <w:sz w:val="32"/>
          <w:szCs w:val="32"/>
        </w:rPr>
      </w:pPr>
    </w:p>
    <w:p>
      <w:pPr>
        <w:pStyle w:val="6"/>
        <w:spacing w:line="594" w:lineRule="exact"/>
        <w:rPr>
          <w:rFonts w:ascii="Times New Roman" w:hAnsi="Times New Roman" w:eastAsia="方正仿宋_GBK" w:cs="Times New Roman"/>
          <w:sz w:val="32"/>
          <w:szCs w:val="32"/>
        </w:rPr>
      </w:pPr>
    </w:p>
    <w:p>
      <w:pPr>
        <w:pStyle w:val="6"/>
        <w:spacing w:line="594" w:lineRule="exact"/>
        <w:rPr>
          <w:rFonts w:eastAsia="方正仿宋_GBK"/>
          <w:sz w:val="32"/>
          <w:szCs w:val="32"/>
        </w:rPr>
      </w:pPr>
      <w:r>
        <w:rPr>
          <w:rFonts w:ascii="Times New Roman" w:hAnsi="Times New Roman" w:eastAsia="方正仿宋_GBK" w:cs="Times New Roman"/>
          <w:sz w:val="32"/>
          <w:szCs w:val="32"/>
        </w:rPr>
        <w:t>3.</w:t>
      </w:r>
      <w:bookmarkStart w:id="227" w:name="_Toc507325900"/>
      <w:bookmarkStart w:id="228" w:name="_Toc507325682"/>
      <w:r>
        <w:rPr>
          <w:rFonts w:hint="eastAsia" w:ascii="方正黑体_GBK" w:hAnsi="方正黑体_GBK" w:eastAsia="方正黑体_GBK" w:cs="方正黑体_GBK"/>
          <w:bCs/>
          <w:sz w:val="32"/>
          <w:szCs w:val="32"/>
        </w:rPr>
        <w:t>法定代表人身份证明书及法人授权委托书</w:t>
      </w:r>
      <w:bookmarkEnd w:id="227"/>
      <w:bookmarkEnd w:id="228"/>
    </w:p>
    <w:p>
      <w:pPr>
        <w:spacing w:line="594" w:lineRule="exact"/>
        <w:ind w:left="359" w:leftChars="171" w:firstLine="880" w:firstLineChars="200"/>
        <w:jc w:val="center"/>
        <w:rPr>
          <w:rFonts w:ascii="Times New Roman" w:hAnsi="Times New Roman" w:eastAsia="楷体"/>
          <w:bCs/>
          <w:sz w:val="44"/>
          <w:szCs w:val="44"/>
        </w:rPr>
      </w:pPr>
    </w:p>
    <w:p>
      <w:pPr>
        <w:spacing w:line="594" w:lineRule="exact"/>
        <w:ind w:left="359" w:leftChars="171" w:firstLine="880" w:firstLineChars="200"/>
        <w:jc w:val="center"/>
        <w:rPr>
          <w:rFonts w:ascii="楷体" w:hAnsi="楷体" w:eastAsia="楷体"/>
          <w:b/>
          <w:sz w:val="28"/>
          <w:szCs w:val="28"/>
        </w:rPr>
      </w:pPr>
      <w:r>
        <w:rPr>
          <w:rFonts w:ascii="Times New Roman" w:hAnsi="Times New Roman" w:eastAsia="楷体"/>
          <w:bCs/>
          <w:sz w:val="44"/>
          <w:szCs w:val="44"/>
        </w:rPr>
        <w:t>（3-1）</w:t>
      </w:r>
      <w:r>
        <w:rPr>
          <w:rFonts w:hint="eastAsia" w:ascii="方正小标宋_GBK" w:hAnsi="方正小标宋_GBK" w:eastAsia="方正小标宋_GBK" w:cs="方正小标宋_GBK"/>
          <w:bCs/>
          <w:sz w:val="44"/>
          <w:szCs w:val="44"/>
        </w:rPr>
        <w:t>法定代表人身份证明书（格式）</w:t>
      </w:r>
    </w:p>
    <w:p>
      <w:pPr>
        <w:spacing w:line="594" w:lineRule="exact"/>
        <w:ind w:left="359" w:leftChars="171" w:firstLine="560" w:firstLineChars="200"/>
        <w:rPr>
          <w:rFonts w:ascii="楷体" w:hAnsi="楷体" w:eastAsia="楷体"/>
          <w:sz w:val="28"/>
          <w:szCs w:val="28"/>
        </w:rPr>
      </w:pPr>
    </w:p>
    <w:p>
      <w:pPr>
        <w:spacing w:line="594" w:lineRule="exact"/>
        <w:ind w:left="359" w:leftChars="171" w:firstLine="560" w:firstLineChars="200"/>
        <w:rPr>
          <w:rFonts w:ascii="楷体" w:hAnsi="楷体" w:eastAsia="楷体"/>
          <w:sz w:val="28"/>
          <w:szCs w:val="28"/>
        </w:rPr>
      </w:pPr>
      <w:r>
        <w:rPr>
          <w:rFonts w:hint="eastAsia" w:ascii="楷体" w:hAnsi="楷体" w:eastAsia="楷体"/>
          <w:sz w:val="28"/>
          <w:szCs w:val="28"/>
        </w:rPr>
        <w:t xml:space="preserve">申请人名称：  </w:t>
      </w:r>
      <w:r>
        <w:rPr>
          <w:rFonts w:hint="eastAsia" w:ascii="楷体" w:hAnsi="楷体" w:eastAsia="楷体"/>
          <w:sz w:val="28"/>
          <w:szCs w:val="28"/>
          <w:u w:val="single"/>
        </w:rPr>
        <w:t xml:space="preserve">                         </w:t>
      </w:r>
      <w:r>
        <w:rPr>
          <w:rFonts w:hint="eastAsia" w:ascii="楷体" w:hAnsi="楷体" w:eastAsia="楷体"/>
          <w:sz w:val="28"/>
          <w:szCs w:val="28"/>
        </w:rPr>
        <w:t xml:space="preserve">                          </w:t>
      </w:r>
    </w:p>
    <w:p>
      <w:pPr>
        <w:spacing w:line="594" w:lineRule="exact"/>
        <w:ind w:left="359" w:leftChars="171" w:firstLine="560" w:firstLineChars="200"/>
        <w:rPr>
          <w:rFonts w:ascii="楷体" w:hAnsi="楷体" w:eastAsia="楷体"/>
          <w:sz w:val="28"/>
          <w:szCs w:val="28"/>
        </w:rPr>
      </w:pPr>
      <w:r>
        <w:rPr>
          <w:rFonts w:hint="eastAsia" w:ascii="楷体" w:hAnsi="楷体" w:eastAsia="楷体"/>
          <w:sz w:val="28"/>
          <w:szCs w:val="28"/>
        </w:rPr>
        <w:t xml:space="preserve">单位性质： </w:t>
      </w:r>
      <w:r>
        <w:rPr>
          <w:rFonts w:hint="eastAsia" w:ascii="楷体" w:hAnsi="楷体" w:eastAsia="楷体"/>
          <w:sz w:val="28"/>
          <w:szCs w:val="28"/>
          <w:u w:val="single"/>
        </w:rPr>
        <w:t xml:space="preserve">                           </w:t>
      </w:r>
      <w:r>
        <w:rPr>
          <w:rFonts w:hint="eastAsia" w:ascii="楷体" w:hAnsi="楷体" w:eastAsia="楷体"/>
          <w:sz w:val="28"/>
          <w:szCs w:val="28"/>
        </w:rPr>
        <w:t xml:space="preserve">                            </w:t>
      </w:r>
    </w:p>
    <w:p>
      <w:pPr>
        <w:spacing w:line="594" w:lineRule="exact"/>
        <w:ind w:left="359" w:leftChars="171" w:firstLine="560" w:firstLineChars="200"/>
        <w:rPr>
          <w:rFonts w:ascii="楷体" w:hAnsi="楷体" w:eastAsia="楷体"/>
          <w:sz w:val="28"/>
          <w:szCs w:val="28"/>
        </w:rPr>
      </w:pPr>
      <w:r>
        <w:rPr>
          <w:rFonts w:hint="eastAsia" w:ascii="楷体" w:hAnsi="楷体" w:eastAsia="楷体"/>
          <w:sz w:val="28"/>
          <w:szCs w:val="28"/>
        </w:rPr>
        <w:t xml:space="preserve">地    址： </w:t>
      </w:r>
      <w:r>
        <w:rPr>
          <w:rFonts w:hint="eastAsia" w:ascii="楷体" w:hAnsi="楷体" w:eastAsia="楷体"/>
          <w:sz w:val="28"/>
          <w:szCs w:val="28"/>
          <w:u w:val="single"/>
        </w:rPr>
        <w:t xml:space="preserve">                             </w:t>
      </w:r>
      <w:r>
        <w:rPr>
          <w:rFonts w:hint="eastAsia" w:ascii="楷体" w:hAnsi="楷体" w:eastAsia="楷体"/>
          <w:sz w:val="28"/>
          <w:szCs w:val="28"/>
        </w:rPr>
        <w:t xml:space="preserve">                          </w:t>
      </w:r>
    </w:p>
    <w:p>
      <w:pPr>
        <w:spacing w:line="594" w:lineRule="exact"/>
        <w:ind w:left="359" w:leftChars="171" w:firstLine="560" w:firstLineChars="200"/>
        <w:rPr>
          <w:rFonts w:ascii="楷体" w:hAnsi="楷体" w:eastAsia="楷体"/>
          <w:sz w:val="28"/>
          <w:szCs w:val="28"/>
          <w:u w:val="single"/>
        </w:rPr>
      </w:pPr>
      <w:r>
        <w:rPr>
          <w:rFonts w:hint="eastAsia" w:ascii="楷体" w:hAnsi="楷体" w:eastAsia="楷体"/>
          <w:sz w:val="28"/>
          <w:szCs w:val="28"/>
        </w:rPr>
        <w:t xml:space="preserve">成立时间：  </w:t>
      </w:r>
      <w:r>
        <w:rPr>
          <w:rFonts w:hint="eastAsia" w:ascii="楷体" w:hAnsi="楷体" w:eastAsia="楷体"/>
          <w:sz w:val="28"/>
          <w:szCs w:val="28"/>
          <w:u w:val="single"/>
        </w:rPr>
        <w:t xml:space="preserve">        年      月     日  </w:t>
      </w:r>
    </w:p>
    <w:p>
      <w:pPr>
        <w:spacing w:line="594" w:lineRule="exact"/>
        <w:ind w:left="359" w:leftChars="171" w:firstLine="560" w:firstLineChars="200"/>
        <w:rPr>
          <w:rFonts w:ascii="楷体" w:hAnsi="楷体" w:eastAsia="楷体"/>
          <w:sz w:val="28"/>
          <w:szCs w:val="28"/>
        </w:rPr>
      </w:pPr>
      <w:r>
        <w:rPr>
          <w:rFonts w:hint="eastAsia" w:ascii="楷体" w:hAnsi="楷体" w:eastAsia="楷体"/>
          <w:sz w:val="28"/>
          <w:szCs w:val="28"/>
        </w:rPr>
        <w:t>经营期限：</w:t>
      </w:r>
      <w:r>
        <w:rPr>
          <w:rFonts w:hint="eastAsia" w:ascii="楷体" w:hAnsi="楷体" w:eastAsia="楷体"/>
          <w:sz w:val="28"/>
          <w:szCs w:val="28"/>
          <w:u w:val="single"/>
        </w:rPr>
        <w:t xml:space="preserve">                               </w:t>
      </w:r>
      <w:r>
        <w:rPr>
          <w:rFonts w:hint="eastAsia" w:ascii="楷体" w:hAnsi="楷体" w:eastAsia="楷体"/>
          <w:sz w:val="28"/>
          <w:szCs w:val="28"/>
        </w:rPr>
        <w:t xml:space="preserve">                         </w:t>
      </w:r>
    </w:p>
    <w:p>
      <w:pPr>
        <w:spacing w:line="594" w:lineRule="exact"/>
        <w:ind w:left="359" w:leftChars="171" w:firstLine="560" w:firstLineChars="200"/>
        <w:rPr>
          <w:rFonts w:ascii="楷体" w:hAnsi="楷体" w:eastAsia="楷体"/>
          <w:sz w:val="28"/>
          <w:szCs w:val="28"/>
        </w:rPr>
      </w:pPr>
      <w:r>
        <w:rPr>
          <w:rFonts w:hint="eastAsia" w:ascii="楷体" w:hAnsi="楷体" w:eastAsia="楷体"/>
          <w:sz w:val="28"/>
          <w:szCs w:val="28"/>
        </w:rPr>
        <w:t xml:space="preserve">姓名：   </w:t>
      </w:r>
      <w:r>
        <w:rPr>
          <w:rFonts w:hint="eastAsia" w:ascii="楷体" w:hAnsi="楷体" w:eastAsia="楷体"/>
          <w:sz w:val="28"/>
          <w:szCs w:val="28"/>
          <w:u w:val="single"/>
        </w:rPr>
        <w:t xml:space="preserve">  （签字）</w:t>
      </w:r>
      <w:r>
        <w:rPr>
          <w:rFonts w:hint="eastAsia" w:ascii="楷体" w:hAnsi="楷体" w:eastAsia="楷体"/>
          <w:sz w:val="28"/>
          <w:szCs w:val="28"/>
        </w:rPr>
        <w:t xml:space="preserve"> 性别：</w:t>
      </w:r>
      <w:r>
        <w:rPr>
          <w:rFonts w:hint="eastAsia" w:ascii="楷体" w:hAnsi="楷体" w:eastAsia="楷体"/>
          <w:sz w:val="28"/>
          <w:szCs w:val="28"/>
          <w:u w:val="single"/>
        </w:rPr>
        <w:t xml:space="preserve">     </w:t>
      </w:r>
      <w:r>
        <w:rPr>
          <w:rFonts w:hint="eastAsia" w:ascii="楷体" w:hAnsi="楷体" w:eastAsia="楷体"/>
          <w:sz w:val="28"/>
          <w:szCs w:val="28"/>
        </w:rPr>
        <w:t xml:space="preserve"> 年龄： </w:t>
      </w:r>
      <w:r>
        <w:rPr>
          <w:rFonts w:hint="eastAsia" w:ascii="楷体" w:hAnsi="楷体" w:eastAsia="楷体"/>
          <w:sz w:val="28"/>
          <w:szCs w:val="28"/>
          <w:u w:val="single"/>
        </w:rPr>
        <w:t xml:space="preserve">    </w:t>
      </w:r>
      <w:r>
        <w:rPr>
          <w:rFonts w:hint="eastAsia" w:ascii="楷体" w:hAnsi="楷体" w:eastAsia="楷体"/>
          <w:sz w:val="28"/>
          <w:szCs w:val="28"/>
        </w:rPr>
        <w:t>职务：</w:t>
      </w:r>
      <w:r>
        <w:rPr>
          <w:rFonts w:hint="eastAsia" w:ascii="楷体" w:hAnsi="楷体" w:eastAsia="楷体"/>
          <w:sz w:val="28"/>
          <w:szCs w:val="28"/>
          <w:u w:val="single"/>
        </w:rPr>
        <w:t xml:space="preserve">     </w:t>
      </w:r>
      <w:r>
        <w:rPr>
          <w:rFonts w:hint="eastAsia" w:ascii="楷体" w:hAnsi="楷体" w:eastAsia="楷体"/>
          <w:sz w:val="28"/>
          <w:szCs w:val="28"/>
        </w:rPr>
        <w:t xml:space="preserve">            </w:t>
      </w:r>
    </w:p>
    <w:p>
      <w:pPr>
        <w:spacing w:line="594" w:lineRule="exact"/>
        <w:ind w:left="359" w:leftChars="171" w:firstLine="560" w:firstLineChars="200"/>
        <w:rPr>
          <w:rFonts w:ascii="楷体" w:hAnsi="楷体" w:eastAsia="楷体"/>
          <w:sz w:val="28"/>
          <w:szCs w:val="28"/>
        </w:rPr>
      </w:pPr>
      <w:r>
        <w:rPr>
          <w:rFonts w:hint="eastAsia" w:ascii="楷体" w:hAnsi="楷体" w:eastAsia="楷体"/>
          <w:sz w:val="28"/>
          <w:szCs w:val="28"/>
        </w:rPr>
        <w:t xml:space="preserve">系：  </w:t>
      </w:r>
      <w:r>
        <w:rPr>
          <w:rFonts w:hint="eastAsia" w:ascii="楷体" w:hAnsi="楷体" w:eastAsia="楷体"/>
          <w:sz w:val="28"/>
          <w:szCs w:val="28"/>
          <w:u w:val="single"/>
        </w:rPr>
        <w:t xml:space="preserve">              （申请人名称）</w:t>
      </w:r>
      <w:r>
        <w:rPr>
          <w:rFonts w:hint="eastAsia" w:ascii="楷体" w:hAnsi="楷体" w:eastAsia="楷体"/>
          <w:sz w:val="28"/>
          <w:szCs w:val="28"/>
        </w:rPr>
        <w:t>的法定代表人。</w:t>
      </w:r>
    </w:p>
    <w:p>
      <w:pPr>
        <w:spacing w:line="594" w:lineRule="exact"/>
        <w:ind w:left="359" w:leftChars="171" w:firstLine="560" w:firstLineChars="200"/>
        <w:rPr>
          <w:rFonts w:ascii="楷体" w:hAnsi="楷体" w:eastAsia="楷体"/>
          <w:sz w:val="28"/>
          <w:szCs w:val="28"/>
        </w:rPr>
      </w:pPr>
      <w:r>
        <w:rPr>
          <w:rFonts w:hint="eastAsia" w:ascii="楷体" w:hAnsi="楷体" w:eastAsia="楷体"/>
          <w:sz w:val="28"/>
          <w:szCs w:val="28"/>
        </w:rPr>
        <w:t xml:space="preserve"> </w:t>
      </w:r>
    </w:p>
    <w:p>
      <w:pPr>
        <w:spacing w:line="594" w:lineRule="exact"/>
        <w:ind w:left="359" w:leftChars="171" w:firstLine="560" w:firstLineChars="200"/>
        <w:rPr>
          <w:rFonts w:ascii="楷体" w:hAnsi="楷体" w:eastAsia="楷体"/>
          <w:sz w:val="28"/>
          <w:szCs w:val="28"/>
        </w:rPr>
      </w:pPr>
      <w:r>
        <w:rPr>
          <w:rFonts w:hint="eastAsia" w:ascii="楷体" w:hAnsi="楷体" w:eastAsia="楷体"/>
          <w:sz w:val="28"/>
          <w:szCs w:val="28"/>
        </w:rPr>
        <w:t>特此证明。</w:t>
      </w:r>
    </w:p>
    <w:p>
      <w:pPr>
        <w:spacing w:line="594" w:lineRule="exact"/>
        <w:ind w:left="359" w:leftChars="171" w:firstLine="560" w:firstLineChars="200"/>
        <w:rPr>
          <w:rFonts w:ascii="楷体" w:hAnsi="楷体" w:eastAsia="楷体"/>
          <w:sz w:val="28"/>
          <w:szCs w:val="28"/>
        </w:rPr>
      </w:pPr>
    </w:p>
    <w:p>
      <w:pPr>
        <w:spacing w:line="594" w:lineRule="exact"/>
        <w:ind w:left="359" w:leftChars="171" w:firstLine="560" w:firstLineChars="200"/>
        <w:rPr>
          <w:rFonts w:ascii="楷体" w:hAnsi="楷体" w:eastAsia="楷体"/>
          <w:sz w:val="28"/>
          <w:szCs w:val="28"/>
          <w:u w:val="single"/>
        </w:rPr>
      </w:pPr>
      <w:r>
        <w:rPr>
          <w:rFonts w:hint="eastAsia" w:ascii="楷体" w:hAnsi="楷体" w:eastAsia="楷体"/>
          <w:sz w:val="28"/>
          <w:szCs w:val="28"/>
        </w:rPr>
        <w:t xml:space="preserve">申请人：    </w:t>
      </w:r>
      <w:r>
        <w:rPr>
          <w:rFonts w:hint="eastAsia" w:ascii="楷体" w:hAnsi="楷体" w:eastAsia="楷体"/>
          <w:sz w:val="28"/>
          <w:szCs w:val="28"/>
          <w:u w:val="single"/>
        </w:rPr>
        <w:t xml:space="preserve">                  （盖单位公章）</w:t>
      </w:r>
    </w:p>
    <w:p>
      <w:pPr>
        <w:spacing w:line="594" w:lineRule="exact"/>
        <w:ind w:left="359" w:leftChars="171" w:firstLine="560" w:firstLineChars="200"/>
        <w:rPr>
          <w:rFonts w:ascii="楷体" w:hAnsi="楷体" w:eastAsia="楷体"/>
          <w:sz w:val="28"/>
          <w:szCs w:val="28"/>
          <w:u w:val="single"/>
        </w:rPr>
      </w:pPr>
    </w:p>
    <w:p>
      <w:pPr>
        <w:spacing w:line="594" w:lineRule="exact"/>
        <w:ind w:left="359" w:leftChars="171" w:firstLine="560" w:firstLineChars="200"/>
      </w:pPr>
      <w:r>
        <w:rPr>
          <w:rFonts w:hint="eastAsia" w:ascii="楷体" w:hAnsi="楷体" w:eastAsia="楷体"/>
          <w:sz w:val="28"/>
          <w:szCs w:val="28"/>
        </w:rPr>
        <w:t xml:space="preserve">                                  年        月         日</w:t>
      </w:r>
    </w:p>
    <w:tbl>
      <w:tblPr>
        <w:tblStyle w:val="20"/>
        <w:tblW w:w="4746" w:type="dxa"/>
        <w:jc w:val="center"/>
        <w:tblBorders>
          <w:top w:val="dotDash" w:color="auto" w:sz="2" w:space="0"/>
          <w:left w:val="dotDash" w:color="auto" w:sz="2" w:space="0"/>
          <w:bottom w:val="dotDash" w:color="auto" w:sz="2" w:space="0"/>
          <w:right w:val="dotDash" w:color="auto" w:sz="2" w:space="0"/>
          <w:insideH w:val="dotDash" w:color="auto" w:sz="2" w:space="0"/>
          <w:insideV w:val="dotDash" w:color="auto" w:sz="2" w:space="0"/>
        </w:tblBorders>
        <w:tblLayout w:type="fixed"/>
        <w:tblCellMar>
          <w:top w:w="0" w:type="dxa"/>
          <w:left w:w="108" w:type="dxa"/>
          <w:bottom w:w="0" w:type="dxa"/>
          <w:right w:w="108" w:type="dxa"/>
        </w:tblCellMar>
      </w:tblPr>
      <w:tblGrid>
        <w:gridCol w:w="4746"/>
      </w:tblGrid>
      <w:tr>
        <w:tblPrEx>
          <w:tblBorders>
            <w:top w:val="dotDash" w:color="auto" w:sz="2" w:space="0"/>
            <w:left w:val="dotDash" w:color="auto" w:sz="2" w:space="0"/>
            <w:bottom w:val="dotDash" w:color="auto" w:sz="2" w:space="0"/>
            <w:right w:val="dotDash" w:color="auto" w:sz="2" w:space="0"/>
            <w:insideH w:val="dotDash" w:color="auto" w:sz="2" w:space="0"/>
            <w:insideV w:val="dotDash" w:color="auto" w:sz="2" w:space="0"/>
          </w:tblBorders>
          <w:tblCellMar>
            <w:top w:w="0" w:type="dxa"/>
            <w:left w:w="108" w:type="dxa"/>
            <w:bottom w:w="0" w:type="dxa"/>
            <w:right w:w="108" w:type="dxa"/>
          </w:tblCellMar>
        </w:tblPrEx>
        <w:trPr>
          <w:trHeight w:val="2520" w:hRule="atLeast"/>
          <w:jc w:val="center"/>
        </w:trPr>
        <w:tc>
          <w:tcPr>
            <w:tcW w:w="4746" w:type="dxa"/>
          </w:tcPr>
          <w:p>
            <w:pPr>
              <w:autoSpaceDE w:val="0"/>
              <w:autoSpaceDN w:val="0"/>
              <w:adjustRightInd w:val="0"/>
              <w:spacing w:line="594" w:lineRule="exact"/>
              <w:jc w:val="center"/>
              <w:rPr>
                <w:rFonts w:ascii="楷体" w:hAnsi="楷体" w:eastAsia="楷体" w:cs="宋体"/>
                <w:kern w:val="0"/>
                <w:sz w:val="28"/>
                <w:szCs w:val="28"/>
              </w:rPr>
            </w:pPr>
            <w:r>
              <w:rPr>
                <w:rFonts w:hint="eastAsia" w:ascii="楷体" w:hAnsi="楷体" w:eastAsia="楷体" w:cs="宋体"/>
                <w:kern w:val="0"/>
                <w:sz w:val="28"/>
                <w:szCs w:val="28"/>
              </w:rPr>
              <w:t>（法定代表人身份证双面复印件或扫描件）</w:t>
            </w:r>
          </w:p>
        </w:tc>
      </w:tr>
    </w:tbl>
    <w:p>
      <w:pPr>
        <w:spacing w:line="594" w:lineRule="exact"/>
        <w:rPr>
          <w:rFonts w:ascii="楷体" w:hAnsi="楷体" w:eastAsia="楷体"/>
          <w:b/>
          <w:sz w:val="28"/>
          <w:szCs w:val="28"/>
        </w:rPr>
      </w:pPr>
    </w:p>
    <w:p>
      <w:pPr>
        <w:spacing w:line="594" w:lineRule="exact"/>
        <w:ind w:firstLine="840" w:firstLineChars="300"/>
        <w:rPr>
          <w:rFonts w:ascii="楷体" w:hAnsi="楷体" w:eastAsia="楷体"/>
          <w:sz w:val="28"/>
          <w:szCs w:val="28"/>
        </w:rPr>
      </w:pPr>
      <w:r>
        <w:rPr>
          <w:rFonts w:hint="eastAsia" w:ascii="楷体" w:hAnsi="楷体" w:eastAsia="楷体"/>
          <w:sz w:val="28"/>
          <w:szCs w:val="28"/>
        </w:rPr>
        <w:t>本人</w:t>
      </w:r>
      <w:r>
        <w:rPr>
          <w:rFonts w:hint="eastAsia" w:ascii="楷体" w:hAnsi="楷体" w:eastAsia="楷体"/>
          <w:sz w:val="28"/>
          <w:szCs w:val="28"/>
          <w:u w:val="single"/>
        </w:rPr>
        <w:t xml:space="preserve">    </w:t>
      </w:r>
      <w:r>
        <w:rPr>
          <w:rFonts w:hint="eastAsia" w:ascii="楷体" w:hAnsi="楷体" w:eastAsia="楷体"/>
          <w:sz w:val="28"/>
          <w:szCs w:val="28"/>
        </w:rPr>
        <w:t>（姓名）系</w:t>
      </w:r>
      <w:r>
        <w:rPr>
          <w:rFonts w:hint="eastAsia" w:ascii="楷体" w:hAnsi="楷体" w:eastAsia="楷体"/>
          <w:sz w:val="28"/>
          <w:szCs w:val="28"/>
          <w:u w:val="single"/>
        </w:rPr>
        <w:t xml:space="preserve">      </w:t>
      </w:r>
      <w:r>
        <w:rPr>
          <w:rFonts w:hint="eastAsia" w:ascii="楷体" w:hAnsi="楷体" w:eastAsia="楷体"/>
          <w:sz w:val="28"/>
          <w:szCs w:val="28"/>
        </w:rPr>
        <w:t>（应选人名称）的法定代表人，现委托</w:t>
      </w:r>
      <w:r>
        <w:rPr>
          <w:rFonts w:hint="eastAsia" w:ascii="楷体" w:hAnsi="楷体" w:eastAsia="楷体"/>
          <w:sz w:val="28"/>
          <w:szCs w:val="28"/>
          <w:u w:val="single"/>
        </w:rPr>
        <w:t xml:space="preserve">      </w:t>
      </w:r>
      <w:r>
        <w:rPr>
          <w:rFonts w:hint="eastAsia" w:ascii="楷体" w:hAnsi="楷体" w:eastAsia="楷体"/>
          <w:sz w:val="28"/>
          <w:szCs w:val="28"/>
        </w:rPr>
        <w:t>（姓名）为我方代理人。代理人根据授权，以我方名义签署、澄清、说明、补正、递交、撤回、修改</w:t>
      </w:r>
      <w:r>
        <w:rPr>
          <w:rFonts w:hint="eastAsia" w:ascii="楷体" w:hAnsi="楷体" w:eastAsia="楷体"/>
          <w:sz w:val="28"/>
          <w:szCs w:val="28"/>
          <w:u w:val="single"/>
        </w:rPr>
        <w:t xml:space="preserve">      </w:t>
      </w:r>
      <w:r>
        <w:rPr>
          <w:rFonts w:hint="eastAsia" w:ascii="楷体" w:hAnsi="楷体" w:eastAsia="楷体"/>
          <w:sz w:val="28"/>
          <w:szCs w:val="28"/>
        </w:rPr>
        <w:t xml:space="preserve"> （项目名称）比选事宜、签订合同和处理有关事宜（向有关行政监督部门投诉另行授权），其法律后果由我方承担。</w:t>
      </w:r>
    </w:p>
    <w:p>
      <w:pPr>
        <w:spacing w:line="594" w:lineRule="exact"/>
        <w:ind w:left="359" w:leftChars="171" w:firstLine="560" w:firstLineChars="200"/>
        <w:rPr>
          <w:rFonts w:ascii="楷体" w:hAnsi="楷体" w:eastAsia="楷体"/>
          <w:sz w:val="28"/>
          <w:szCs w:val="28"/>
        </w:rPr>
      </w:pPr>
      <w:r>
        <w:rPr>
          <w:rFonts w:hint="eastAsia" w:ascii="楷体" w:hAnsi="楷体" w:eastAsia="楷体"/>
          <w:sz w:val="28"/>
          <w:szCs w:val="28"/>
        </w:rPr>
        <w:t>委托期限：</w:t>
      </w:r>
      <w:r>
        <w:rPr>
          <w:rFonts w:hint="eastAsia" w:ascii="楷体" w:hAnsi="楷体" w:eastAsia="楷体"/>
          <w:sz w:val="28"/>
          <w:szCs w:val="28"/>
          <w:u w:val="single"/>
        </w:rPr>
        <w:t>自本授权委托书签署之日起至本项目比选文件规定的“比选有效期”结束为止</w:t>
      </w:r>
      <w:r>
        <w:rPr>
          <w:rFonts w:hint="eastAsia" w:ascii="楷体" w:hAnsi="楷体" w:eastAsia="楷体"/>
          <w:sz w:val="28"/>
          <w:szCs w:val="28"/>
        </w:rPr>
        <w:t>。</w:t>
      </w:r>
    </w:p>
    <w:p>
      <w:pPr>
        <w:spacing w:line="594" w:lineRule="exact"/>
        <w:ind w:left="359" w:leftChars="171" w:firstLine="560" w:firstLineChars="200"/>
        <w:rPr>
          <w:rFonts w:ascii="楷体" w:hAnsi="楷体" w:eastAsia="楷体"/>
          <w:sz w:val="28"/>
          <w:szCs w:val="28"/>
        </w:rPr>
      </w:pPr>
      <w:r>
        <w:rPr>
          <w:rFonts w:hint="eastAsia" w:ascii="楷体" w:hAnsi="楷体" w:eastAsia="楷体"/>
          <w:sz w:val="28"/>
          <w:szCs w:val="28"/>
        </w:rPr>
        <w:t>代理人无转委托权。</w:t>
      </w:r>
    </w:p>
    <w:tbl>
      <w:tblPr>
        <w:tblStyle w:val="20"/>
        <w:tblpPr w:leftFromText="180" w:rightFromText="180" w:vertAnchor="text" w:horzAnchor="page" w:tblpX="2128" w:tblpY="99"/>
        <w:tblW w:w="4215" w:type="dxa"/>
        <w:tblInd w:w="0" w:type="dxa"/>
        <w:tblBorders>
          <w:top w:val="dotDash" w:color="auto" w:sz="2" w:space="0"/>
          <w:left w:val="dotDash" w:color="auto" w:sz="2" w:space="0"/>
          <w:bottom w:val="dotDash" w:color="auto" w:sz="2" w:space="0"/>
          <w:right w:val="dotDash" w:color="auto" w:sz="2" w:space="0"/>
          <w:insideH w:val="dotDash" w:color="auto" w:sz="2" w:space="0"/>
          <w:insideV w:val="dotDash" w:color="auto" w:sz="2" w:space="0"/>
        </w:tblBorders>
        <w:tblLayout w:type="fixed"/>
        <w:tblCellMar>
          <w:top w:w="0" w:type="dxa"/>
          <w:left w:w="108" w:type="dxa"/>
          <w:bottom w:w="0" w:type="dxa"/>
          <w:right w:w="108" w:type="dxa"/>
        </w:tblCellMar>
      </w:tblPr>
      <w:tblGrid>
        <w:gridCol w:w="4215"/>
      </w:tblGrid>
      <w:tr>
        <w:tblPrEx>
          <w:tblBorders>
            <w:top w:val="dotDash" w:color="auto" w:sz="2" w:space="0"/>
            <w:left w:val="dotDash" w:color="auto" w:sz="2" w:space="0"/>
            <w:bottom w:val="dotDash" w:color="auto" w:sz="2" w:space="0"/>
            <w:right w:val="dotDash" w:color="auto" w:sz="2" w:space="0"/>
            <w:insideH w:val="dotDash" w:color="auto" w:sz="2" w:space="0"/>
            <w:insideV w:val="dotDash" w:color="auto" w:sz="2" w:space="0"/>
          </w:tblBorders>
          <w:tblCellMar>
            <w:top w:w="0" w:type="dxa"/>
            <w:left w:w="108" w:type="dxa"/>
            <w:bottom w:w="0" w:type="dxa"/>
            <w:right w:w="108" w:type="dxa"/>
          </w:tblCellMar>
        </w:tblPrEx>
        <w:trPr>
          <w:trHeight w:val="2405" w:hRule="atLeast"/>
        </w:trPr>
        <w:tc>
          <w:tcPr>
            <w:tcW w:w="4215" w:type="dxa"/>
          </w:tcPr>
          <w:p>
            <w:pPr>
              <w:autoSpaceDE w:val="0"/>
              <w:autoSpaceDN w:val="0"/>
              <w:adjustRightInd w:val="0"/>
              <w:spacing w:line="594" w:lineRule="exact"/>
              <w:jc w:val="center"/>
              <w:rPr>
                <w:rFonts w:ascii="楷体" w:hAnsi="楷体" w:eastAsia="楷体" w:cs="宋体"/>
                <w:kern w:val="0"/>
                <w:sz w:val="28"/>
                <w:szCs w:val="28"/>
              </w:rPr>
            </w:pPr>
            <w:r>
              <w:rPr>
                <w:rFonts w:hint="eastAsia" w:ascii="楷体" w:hAnsi="楷体" w:eastAsia="楷体" w:cs="宋体"/>
                <w:kern w:val="0"/>
                <w:sz w:val="28"/>
                <w:szCs w:val="28"/>
              </w:rPr>
              <w:t>（法定代表人身份证双面复印件或扫描件）</w:t>
            </w:r>
          </w:p>
        </w:tc>
      </w:tr>
    </w:tbl>
    <w:p>
      <w:pPr>
        <w:spacing w:line="594" w:lineRule="exact"/>
        <w:rPr>
          <w:rFonts w:ascii="Times New Roman" w:hAnsi="Times New Roman"/>
          <w:vanish/>
          <w:szCs w:val="24"/>
        </w:rPr>
      </w:pPr>
    </w:p>
    <w:tbl>
      <w:tblPr>
        <w:tblStyle w:val="20"/>
        <w:tblpPr w:leftFromText="180" w:rightFromText="180" w:vertAnchor="text" w:horzAnchor="margin" w:tblpXSpec="right" w:tblpY="82"/>
        <w:tblW w:w="4031" w:type="dxa"/>
        <w:tblInd w:w="0" w:type="dxa"/>
        <w:tblBorders>
          <w:top w:val="dotDash" w:color="auto" w:sz="2" w:space="0"/>
          <w:left w:val="dotDash" w:color="auto" w:sz="2" w:space="0"/>
          <w:bottom w:val="dotDash" w:color="auto" w:sz="2" w:space="0"/>
          <w:right w:val="dotDash" w:color="auto" w:sz="2" w:space="0"/>
          <w:insideH w:val="dotDash" w:color="auto" w:sz="2" w:space="0"/>
          <w:insideV w:val="dotDash" w:color="auto" w:sz="2" w:space="0"/>
        </w:tblBorders>
        <w:tblLayout w:type="fixed"/>
        <w:tblCellMar>
          <w:top w:w="0" w:type="dxa"/>
          <w:left w:w="108" w:type="dxa"/>
          <w:bottom w:w="0" w:type="dxa"/>
          <w:right w:w="108" w:type="dxa"/>
        </w:tblCellMar>
      </w:tblPr>
      <w:tblGrid>
        <w:gridCol w:w="4031"/>
      </w:tblGrid>
      <w:tr>
        <w:tblPrEx>
          <w:tblBorders>
            <w:top w:val="dotDash" w:color="auto" w:sz="2" w:space="0"/>
            <w:left w:val="dotDash" w:color="auto" w:sz="2" w:space="0"/>
            <w:bottom w:val="dotDash" w:color="auto" w:sz="2" w:space="0"/>
            <w:right w:val="dotDash" w:color="auto" w:sz="2" w:space="0"/>
            <w:insideH w:val="dotDash" w:color="auto" w:sz="2" w:space="0"/>
            <w:insideV w:val="dotDash" w:color="auto" w:sz="2" w:space="0"/>
          </w:tblBorders>
          <w:tblCellMar>
            <w:top w:w="0" w:type="dxa"/>
            <w:left w:w="108" w:type="dxa"/>
            <w:bottom w:w="0" w:type="dxa"/>
            <w:right w:w="108" w:type="dxa"/>
          </w:tblCellMar>
        </w:tblPrEx>
        <w:trPr>
          <w:trHeight w:val="2383" w:hRule="atLeast"/>
        </w:trPr>
        <w:tc>
          <w:tcPr>
            <w:tcW w:w="4031" w:type="dxa"/>
          </w:tcPr>
          <w:p>
            <w:pPr>
              <w:autoSpaceDE w:val="0"/>
              <w:autoSpaceDN w:val="0"/>
              <w:adjustRightInd w:val="0"/>
              <w:spacing w:line="594" w:lineRule="exact"/>
              <w:jc w:val="center"/>
              <w:rPr>
                <w:rFonts w:ascii="楷体" w:hAnsi="楷体" w:eastAsia="楷体" w:cs="宋体"/>
                <w:kern w:val="0"/>
                <w:sz w:val="28"/>
                <w:szCs w:val="28"/>
              </w:rPr>
            </w:pPr>
            <w:r>
              <w:rPr>
                <w:rFonts w:hint="eastAsia" w:ascii="楷体" w:hAnsi="楷体" w:eastAsia="楷体" w:cs="宋体"/>
                <w:kern w:val="0"/>
                <w:sz w:val="28"/>
                <w:szCs w:val="28"/>
              </w:rPr>
              <w:t>（被授权代表人身份证双面复印件或扫描件）</w:t>
            </w:r>
          </w:p>
        </w:tc>
      </w:tr>
    </w:tbl>
    <w:p>
      <w:pPr>
        <w:spacing w:line="594" w:lineRule="exact"/>
        <w:rPr>
          <w:rFonts w:ascii="楷体" w:hAnsi="楷体" w:eastAsia="楷体"/>
          <w:vanish/>
          <w:szCs w:val="24"/>
        </w:rPr>
      </w:pPr>
    </w:p>
    <w:p>
      <w:pPr>
        <w:spacing w:line="594" w:lineRule="exact"/>
        <w:rPr>
          <w:rFonts w:ascii="楷体" w:hAnsi="楷体" w:eastAsia="楷体"/>
          <w:vanish/>
          <w:szCs w:val="24"/>
        </w:rPr>
      </w:pPr>
    </w:p>
    <w:p>
      <w:pPr>
        <w:adjustRightInd w:val="0"/>
        <w:spacing w:line="594" w:lineRule="exact"/>
        <w:ind w:firstLine="560" w:firstLineChars="200"/>
        <w:rPr>
          <w:rFonts w:ascii="楷体" w:hAnsi="楷体" w:eastAsia="楷体"/>
          <w:sz w:val="28"/>
          <w:szCs w:val="28"/>
        </w:rPr>
      </w:pPr>
    </w:p>
    <w:p>
      <w:pPr>
        <w:adjustRightInd w:val="0"/>
        <w:spacing w:line="594" w:lineRule="exact"/>
        <w:ind w:firstLine="560" w:firstLineChars="200"/>
        <w:rPr>
          <w:rFonts w:ascii="楷体" w:hAnsi="楷体" w:eastAsia="楷体"/>
          <w:sz w:val="28"/>
          <w:szCs w:val="28"/>
        </w:rPr>
      </w:pPr>
    </w:p>
    <w:p>
      <w:pPr>
        <w:adjustRightInd w:val="0"/>
        <w:spacing w:line="594" w:lineRule="exact"/>
        <w:ind w:firstLine="560" w:firstLineChars="200"/>
        <w:rPr>
          <w:rFonts w:ascii="楷体" w:hAnsi="楷体" w:eastAsia="楷体"/>
          <w:sz w:val="28"/>
          <w:szCs w:val="28"/>
        </w:rPr>
      </w:pPr>
    </w:p>
    <w:p>
      <w:pPr>
        <w:adjustRightInd w:val="0"/>
        <w:spacing w:line="594" w:lineRule="exact"/>
        <w:ind w:firstLine="560" w:firstLineChars="200"/>
        <w:rPr>
          <w:rFonts w:ascii="楷体" w:hAnsi="楷体" w:eastAsia="楷体"/>
          <w:sz w:val="28"/>
          <w:szCs w:val="28"/>
        </w:rPr>
      </w:pPr>
    </w:p>
    <w:p>
      <w:pPr>
        <w:adjustRightInd w:val="0"/>
        <w:spacing w:line="594" w:lineRule="exact"/>
        <w:rPr>
          <w:rFonts w:ascii="楷体" w:hAnsi="楷体" w:eastAsia="楷体"/>
          <w:sz w:val="28"/>
          <w:szCs w:val="28"/>
        </w:rPr>
      </w:pPr>
    </w:p>
    <w:p>
      <w:pPr>
        <w:adjustRightInd w:val="0"/>
        <w:spacing w:line="594" w:lineRule="exact"/>
        <w:ind w:firstLine="560" w:firstLineChars="200"/>
        <w:rPr>
          <w:rFonts w:ascii="楷体" w:hAnsi="楷体" w:eastAsia="楷体"/>
          <w:sz w:val="28"/>
          <w:szCs w:val="28"/>
          <w:u w:val="single"/>
        </w:rPr>
      </w:pPr>
      <w:r>
        <w:rPr>
          <w:rFonts w:hint="eastAsia" w:ascii="楷体" w:hAnsi="楷体" w:eastAsia="楷体"/>
          <w:sz w:val="28"/>
          <w:szCs w:val="28"/>
        </w:rPr>
        <w:t>委托代理人：</w:t>
      </w:r>
      <w:r>
        <w:rPr>
          <w:rFonts w:hint="eastAsia" w:ascii="楷体" w:hAnsi="楷体" w:eastAsia="楷体"/>
          <w:sz w:val="28"/>
          <w:szCs w:val="28"/>
          <w:u w:val="single"/>
        </w:rPr>
        <w:t xml:space="preserve">      （签字）  </w:t>
      </w:r>
      <w:r>
        <w:rPr>
          <w:rFonts w:hint="eastAsia" w:ascii="楷体" w:hAnsi="楷体" w:eastAsia="楷体"/>
          <w:sz w:val="28"/>
          <w:szCs w:val="28"/>
        </w:rPr>
        <w:t>性别：</w:t>
      </w:r>
      <w:r>
        <w:rPr>
          <w:rFonts w:hint="eastAsia" w:ascii="楷体" w:hAnsi="楷体" w:eastAsia="楷体"/>
          <w:sz w:val="28"/>
          <w:szCs w:val="28"/>
          <w:u w:val="single"/>
        </w:rPr>
        <w:t xml:space="preserve">      </w:t>
      </w:r>
      <w:r>
        <w:rPr>
          <w:rFonts w:hint="eastAsia" w:ascii="楷体" w:hAnsi="楷体" w:eastAsia="楷体"/>
          <w:sz w:val="28"/>
          <w:szCs w:val="28"/>
        </w:rPr>
        <w:t>年龄：</w:t>
      </w:r>
      <w:r>
        <w:rPr>
          <w:rFonts w:hint="eastAsia" w:ascii="楷体" w:hAnsi="楷体" w:eastAsia="楷体"/>
          <w:sz w:val="28"/>
          <w:szCs w:val="28"/>
          <w:u w:val="single"/>
        </w:rPr>
        <w:t xml:space="preserve">             </w:t>
      </w:r>
    </w:p>
    <w:p>
      <w:pPr>
        <w:adjustRightInd w:val="0"/>
        <w:spacing w:line="594" w:lineRule="exact"/>
        <w:ind w:firstLine="560" w:firstLineChars="200"/>
        <w:rPr>
          <w:rFonts w:ascii="楷体" w:hAnsi="楷体" w:eastAsia="楷体"/>
          <w:sz w:val="28"/>
          <w:szCs w:val="28"/>
          <w:u w:val="single"/>
        </w:rPr>
      </w:pPr>
      <w:r>
        <w:rPr>
          <w:rFonts w:hint="eastAsia" w:ascii="楷体" w:hAnsi="楷体" w:eastAsia="楷体"/>
          <w:sz w:val="28"/>
          <w:szCs w:val="28"/>
        </w:rPr>
        <w:t>身份证号码：</w:t>
      </w:r>
      <w:r>
        <w:rPr>
          <w:rFonts w:hint="eastAsia" w:ascii="楷体" w:hAnsi="楷体" w:eastAsia="楷体"/>
          <w:sz w:val="28"/>
          <w:szCs w:val="28"/>
          <w:u w:val="single"/>
        </w:rPr>
        <w:t xml:space="preserve">                                  </w:t>
      </w:r>
      <w:r>
        <w:rPr>
          <w:rFonts w:hint="eastAsia" w:ascii="楷体" w:hAnsi="楷体" w:eastAsia="楷体" w:cs="宋体"/>
          <w:sz w:val="28"/>
          <w:szCs w:val="28"/>
        </w:rPr>
        <w:t>职务</w:t>
      </w:r>
      <w:r>
        <w:rPr>
          <w:rFonts w:hint="eastAsia" w:ascii="楷体" w:hAnsi="楷体" w:eastAsia="楷体"/>
          <w:sz w:val="28"/>
          <w:szCs w:val="28"/>
        </w:rPr>
        <w:t>：</w:t>
      </w:r>
      <w:r>
        <w:rPr>
          <w:rFonts w:hint="eastAsia" w:ascii="楷体" w:hAnsi="楷体" w:eastAsia="楷体"/>
          <w:sz w:val="28"/>
          <w:szCs w:val="28"/>
          <w:u w:val="single"/>
        </w:rPr>
        <w:t xml:space="preserve">           </w:t>
      </w:r>
    </w:p>
    <w:p>
      <w:pPr>
        <w:adjustRightInd w:val="0"/>
        <w:spacing w:line="594" w:lineRule="exact"/>
        <w:ind w:firstLine="560" w:firstLineChars="200"/>
        <w:rPr>
          <w:rFonts w:ascii="楷体" w:hAnsi="楷体" w:eastAsia="楷体"/>
          <w:sz w:val="28"/>
          <w:szCs w:val="28"/>
        </w:rPr>
      </w:pPr>
      <w:r>
        <w:rPr>
          <w:rFonts w:hint="eastAsia" w:ascii="楷体" w:hAnsi="楷体" w:eastAsia="楷体" w:cs="宋体"/>
          <w:sz w:val="28"/>
          <w:szCs w:val="28"/>
        </w:rPr>
        <w:t>应选人</w:t>
      </w:r>
      <w:r>
        <w:rPr>
          <w:rFonts w:hint="eastAsia" w:ascii="楷体" w:hAnsi="楷体" w:eastAsia="楷体"/>
          <w:sz w:val="28"/>
          <w:szCs w:val="28"/>
        </w:rPr>
        <w:t>：</w:t>
      </w:r>
      <w:r>
        <w:rPr>
          <w:rFonts w:hint="eastAsia" w:ascii="楷体" w:hAnsi="楷体" w:eastAsia="楷体"/>
          <w:sz w:val="28"/>
          <w:szCs w:val="28"/>
          <w:u w:val="single"/>
        </w:rPr>
        <w:t xml:space="preserve">                    （应选人全称）（盖章）                   </w:t>
      </w:r>
    </w:p>
    <w:p>
      <w:pPr>
        <w:adjustRightInd w:val="0"/>
        <w:spacing w:line="594" w:lineRule="exact"/>
        <w:ind w:firstLine="560" w:firstLineChars="200"/>
        <w:rPr>
          <w:rFonts w:ascii="楷体" w:hAnsi="楷体" w:eastAsia="楷体"/>
          <w:sz w:val="28"/>
          <w:szCs w:val="28"/>
        </w:rPr>
      </w:pPr>
      <w:r>
        <w:rPr>
          <w:rFonts w:hint="eastAsia" w:ascii="楷体" w:hAnsi="楷体" w:eastAsia="楷体"/>
          <w:sz w:val="28"/>
          <w:szCs w:val="28"/>
        </w:rPr>
        <w:t>法定代表人：</w:t>
      </w:r>
      <w:r>
        <w:rPr>
          <w:rFonts w:hint="eastAsia" w:ascii="楷体" w:hAnsi="楷体" w:eastAsia="楷体"/>
          <w:sz w:val="28"/>
          <w:szCs w:val="28"/>
          <w:u w:val="single"/>
        </w:rPr>
        <w:t xml:space="preserve">                （签字）                        </w:t>
      </w:r>
    </w:p>
    <w:p>
      <w:pPr>
        <w:tabs>
          <w:tab w:val="left" w:pos="5760"/>
        </w:tabs>
        <w:autoSpaceDE w:val="0"/>
        <w:autoSpaceDN w:val="0"/>
        <w:adjustRightInd w:val="0"/>
        <w:spacing w:line="594" w:lineRule="exact"/>
        <w:ind w:left="917" w:leftChars="253" w:right="11" w:hanging="386" w:hangingChars="138"/>
        <w:rPr>
          <w:rFonts w:ascii="楷体" w:hAnsi="楷体" w:eastAsia="楷体"/>
          <w:sz w:val="28"/>
          <w:szCs w:val="28"/>
        </w:rPr>
      </w:pPr>
    </w:p>
    <w:p>
      <w:pPr>
        <w:tabs>
          <w:tab w:val="left" w:pos="5760"/>
        </w:tabs>
        <w:autoSpaceDE w:val="0"/>
        <w:autoSpaceDN w:val="0"/>
        <w:adjustRightInd w:val="0"/>
        <w:spacing w:line="594" w:lineRule="exact"/>
        <w:ind w:left="917" w:leftChars="253" w:right="11" w:hanging="386" w:hangingChars="138"/>
        <w:rPr>
          <w:rFonts w:ascii="楷体" w:hAnsi="楷体" w:eastAsia="楷体" w:cs="MingLiU"/>
          <w:kern w:val="0"/>
          <w:sz w:val="28"/>
          <w:szCs w:val="28"/>
        </w:rPr>
      </w:pPr>
      <w:r>
        <w:rPr>
          <w:rFonts w:hint="eastAsia" w:ascii="楷体" w:hAnsi="楷体" w:eastAsia="楷体"/>
          <w:sz w:val="28"/>
          <w:szCs w:val="28"/>
        </w:rPr>
        <w:t>授权委托日期：            年           月          日</w:t>
      </w:r>
    </w:p>
    <w:p>
      <w:pPr>
        <w:pStyle w:val="6"/>
      </w:pPr>
    </w:p>
    <w:p>
      <w:pPr>
        <w:pStyle w:val="6"/>
      </w:pPr>
    </w:p>
    <w:p>
      <w:pPr>
        <w:pStyle w:val="6"/>
      </w:pPr>
    </w:p>
    <w:p>
      <w:pPr>
        <w:pStyle w:val="6"/>
        <w:rPr>
          <w:rFonts w:ascii="Times New Roman" w:hAnsi="Times New Roman" w:eastAsia="方正仿宋_GBK"/>
          <w:sz w:val="32"/>
          <w:szCs w:val="32"/>
        </w:rPr>
      </w:pPr>
    </w:p>
    <w:p>
      <w:pPr>
        <w:pStyle w:val="6"/>
        <w:rPr>
          <w:rFonts w:ascii="Times New Roman" w:hAnsi="Times New Roman" w:eastAsia="方正仿宋_GBK"/>
          <w:sz w:val="32"/>
          <w:szCs w:val="32"/>
        </w:rPr>
      </w:pPr>
      <w:r>
        <w:rPr>
          <w:rFonts w:hint="eastAsia" w:ascii="Times New Roman" w:hAnsi="Times New Roman" w:eastAsia="方正仿宋_GBK"/>
          <w:sz w:val="32"/>
          <w:szCs w:val="32"/>
        </w:rPr>
        <w:t>4.</w:t>
      </w:r>
      <w:r>
        <w:rPr>
          <w:rFonts w:hint="eastAsia" w:ascii="方正黑体_GBK" w:hAnsi="方正黑体_GBK" w:eastAsia="方正黑体_GBK" w:cs="方正黑体_GBK"/>
          <w:sz w:val="32"/>
          <w:szCs w:val="32"/>
        </w:rPr>
        <w:t>资格审查资料</w:t>
      </w:r>
    </w:p>
    <w:p>
      <w:pPr>
        <w:pStyle w:val="6"/>
        <w:rPr>
          <w:sz w:val="22"/>
        </w:rPr>
      </w:pPr>
      <w:r>
        <w:rPr>
          <w:rFonts w:hint="eastAsia" w:ascii="Times New Roman" w:hAnsi="Times New Roman" w:eastAsia="方正仿宋_GBK"/>
          <w:sz w:val="24"/>
          <w:szCs w:val="32"/>
        </w:rPr>
        <w:t>注：应选人按照第二章应选人须知应选人资质条件、能力和信誉要求提供。</w:t>
      </w:r>
    </w:p>
    <w:p>
      <w:pPr>
        <w:pStyle w:val="6"/>
      </w:pPr>
    </w:p>
    <w:p>
      <w:pPr>
        <w:pStyle w:val="6"/>
      </w:pPr>
    </w:p>
    <w:p>
      <w:pPr>
        <w:pStyle w:val="6"/>
      </w:pPr>
    </w:p>
    <w:p>
      <w:pPr>
        <w:pStyle w:val="6"/>
      </w:pPr>
    </w:p>
    <w:p>
      <w:pPr>
        <w:numPr>
          <w:ilvl w:val="255"/>
          <w:numId w:val="0"/>
        </w:numPr>
        <w:tabs>
          <w:tab w:val="left" w:pos="1050"/>
          <w:tab w:val="left" w:pos="1470"/>
        </w:tabs>
        <w:adjustRightInd w:val="0"/>
        <w:snapToGrid w:val="0"/>
        <w:spacing w:line="594" w:lineRule="exact"/>
        <w:rPr>
          <w:rFonts w:ascii="Times New Roman" w:hAnsi="Times New Roman" w:eastAsia="方正仿宋_GBK"/>
          <w:sz w:val="32"/>
          <w:szCs w:val="32"/>
        </w:rPr>
      </w:pPr>
      <w:r>
        <w:rPr>
          <w:rFonts w:hint="eastAsia" w:ascii="Times New Roman" w:hAnsi="Times New Roman" w:eastAsia="方正仿宋_GBK"/>
          <w:sz w:val="32"/>
          <w:szCs w:val="32"/>
        </w:rPr>
        <w:t>5</w:t>
      </w:r>
      <w:r>
        <w:rPr>
          <w:rFonts w:ascii="Times New Roman" w:hAnsi="Times New Roman" w:eastAsia="方正仿宋_GBK"/>
          <w:sz w:val="32"/>
          <w:szCs w:val="32"/>
        </w:rPr>
        <w:t xml:space="preserve">. </w:t>
      </w:r>
      <w:r>
        <w:rPr>
          <w:rFonts w:hint="eastAsia" w:ascii="方正黑体_GBK" w:hAnsi="方正黑体_GBK" w:eastAsia="方正黑体_GBK" w:cs="方正黑体_GBK"/>
          <w:sz w:val="32"/>
          <w:szCs w:val="32"/>
        </w:rPr>
        <w:t>评选办法中要求提供的资料</w:t>
      </w:r>
    </w:p>
    <w:p>
      <w:pPr>
        <w:pStyle w:val="6"/>
        <w:rPr>
          <w:sz w:val="22"/>
        </w:rPr>
      </w:pPr>
      <w:r>
        <w:rPr>
          <w:rFonts w:hint="eastAsia" w:ascii="Times New Roman" w:hAnsi="Times New Roman" w:eastAsia="方正仿宋_GBK"/>
          <w:sz w:val="32"/>
          <w:szCs w:val="32"/>
        </w:rPr>
        <w:t xml:space="preserve">   </w:t>
      </w:r>
      <w:r>
        <w:rPr>
          <w:rFonts w:hint="eastAsia" w:ascii="Times New Roman" w:hAnsi="Times New Roman" w:eastAsia="方正仿宋_GBK"/>
          <w:sz w:val="24"/>
          <w:szCs w:val="32"/>
        </w:rPr>
        <w:t>注：应选人按照第三章评选办法的要求提供。</w:t>
      </w:r>
    </w:p>
    <w:p>
      <w:pPr>
        <w:tabs>
          <w:tab w:val="left" w:pos="1050"/>
          <w:tab w:val="left" w:pos="1470"/>
        </w:tabs>
        <w:adjustRightInd w:val="0"/>
        <w:snapToGrid w:val="0"/>
        <w:spacing w:line="360" w:lineRule="auto"/>
        <w:rPr>
          <w:rFonts w:ascii="Times New Roman" w:hAnsi="Times New Roman" w:eastAsia="方正仿宋_GBK"/>
          <w:sz w:val="32"/>
          <w:szCs w:val="32"/>
        </w:rPr>
      </w:pPr>
    </w:p>
    <w:p>
      <w:pPr>
        <w:tabs>
          <w:tab w:val="left" w:pos="1050"/>
          <w:tab w:val="left" w:pos="1470"/>
        </w:tabs>
        <w:adjustRightInd w:val="0"/>
        <w:snapToGrid w:val="0"/>
        <w:spacing w:line="360" w:lineRule="auto"/>
        <w:rPr>
          <w:rFonts w:eastAsia="方正仿宋_GBK"/>
          <w:sz w:val="32"/>
          <w:szCs w:val="32"/>
        </w:rPr>
      </w:pPr>
    </w:p>
    <w:p>
      <w:pPr>
        <w:tabs>
          <w:tab w:val="left" w:pos="1050"/>
          <w:tab w:val="left" w:pos="1470"/>
        </w:tabs>
        <w:adjustRightInd w:val="0"/>
        <w:snapToGrid w:val="0"/>
        <w:spacing w:line="360" w:lineRule="auto"/>
        <w:rPr>
          <w:rFonts w:eastAsia="方正仿宋_GBK"/>
          <w:sz w:val="32"/>
          <w:szCs w:val="32"/>
        </w:rPr>
      </w:pPr>
    </w:p>
    <w:p>
      <w:pPr>
        <w:tabs>
          <w:tab w:val="left" w:pos="1050"/>
          <w:tab w:val="left" w:pos="1470"/>
        </w:tabs>
        <w:adjustRightInd w:val="0"/>
        <w:snapToGrid w:val="0"/>
        <w:spacing w:line="360" w:lineRule="auto"/>
        <w:rPr>
          <w:rFonts w:eastAsia="方正仿宋_GBK"/>
          <w:sz w:val="32"/>
          <w:szCs w:val="32"/>
        </w:rPr>
      </w:pPr>
    </w:p>
    <w:p>
      <w:pPr>
        <w:tabs>
          <w:tab w:val="left" w:pos="1050"/>
          <w:tab w:val="left" w:pos="1470"/>
        </w:tabs>
        <w:adjustRightInd w:val="0"/>
        <w:snapToGrid w:val="0"/>
        <w:spacing w:line="360" w:lineRule="auto"/>
        <w:rPr>
          <w:rFonts w:eastAsia="方正仿宋_GBK"/>
          <w:sz w:val="32"/>
          <w:szCs w:val="32"/>
        </w:rPr>
      </w:pPr>
    </w:p>
    <w:p>
      <w:pPr>
        <w:tabs>
          <w:tab w:val="left" w:pos="1050"/>
          <w:tab w:val="left" w:pos="1470"/>
        </w:tabs>
        <w:adjustRightInd w:val="0"/>
        <w:snapToGrid w:val="0"/>
        <w:spacing w:line="360" w:lineRule="auto"/>
        <w:rPr>
          <w:rFonts w:eastAsia="方正仿宋_GBK"/>
          <w:sz w:val="32"/>
          <w:szCs w:val="32"/>
        </w:rPr>
      </w:pPr>
    </w:p>
    <w:p>
      <w:pPr>
        <w:tabs>
          <w:tab w:val="left" w:pos="1050"/>
          <w:tab w:val="left" w:pos="1470"/>
        </w:tabs>
        <w:adjustRightInd w:val="0"/>
        <w:snapToGrid w:val="0"/>
        <w:spacing w:line="360" w:lineRule="auto"/>
        <w:rPr>
          <w:rFonts w:eastAsia="方正仿宋_GBK"/>
          <w:sz w:val="32"/>
          <w:szCs w:val="32"/>
        </w:rPr>
      </w:pPr>
    </w:p>
    <w:p>
      <w:pPr>
        <w:tabs>
          <w:tab w:val="left" w:pos="1050"/>
          <w:tab w:val="left" w:pos="1470"/>
        </w:tabs>
        <w:adjustRightInd w:val="0"/>
        <w:snapToGrid w:val="0"/>
        <w:spacing w:line="360" w:lineRule="auto"/>
        <w:rPr>
          <w:rFonts w:eastAsia="方正仿宋_GBK"/>
          <w:sz w:val="32"/>
          <w:szCs w:val="32"/>
        </w:rPr>
      </w:pPr>
    </w:p>
    <w:p>
      <w:pPr>
        <w:tabs>
          <w:tab w:val="left" w:pos="1050"/>
          <w:tab w:val="left" w:pos="1470"/>
        </w:tabs>
        <w:adjustRightInd w:val="0"/>
        <w:snapToGrid w:val="0"/>
        <w:spacing w:line="360" w:lineRule="auto"/>
        <w:rPr>
          <w:rFonts w:ascii="方正黑体_GBK" w:hAnsi="方正黑体_GBK" w:eastAsia="方正黑体_GBK" w:cs="方正黑体_GBK"/>
          <w:sz w:val="32"/>
          <w:szCs w:val="32"/>
        </w:rPr>
      </w:pPr>
      <w:r>
        <w:rPr>
          <w:rFonts w:ascii="Times New Roman" w:hAnsi="Times New Roman" w:eastAsia="方正仿宋_GBK"/>
          <w:sz w:val="32"/>
          <w:szCs w:val="32"/>
        </w:rPr>
        <w:t>6.</w:t>
      </w:r>
      <w:r>
        <w:rPr>
          <w:rFonts w:hint="eastAsia" w:ascii="方正黑体_GBK" w:hAnsi="方正黑体_GBK" w:eastAsia="方正黑体_GBK" w:cs="方正黑体_GBK"/>
          <w:sz w:val="32"/>
          <w:szCs w:val="32"/>
        </w:rPr>
        <w:t>应选人需要提交的其他材料</w:t>
      </w:r>
    </w:p>
    <w:p>
      <w:pPr>
        <w:pStyle w:val="6"/>
        <w:ind w:firstLine="960" w:firstLineChars="400"/>
        <w:rPr>
          <w:rFonts w:ascii="Times New Roman" w:hAnsi="Times New Roman" w:eastAsia="方正仿宋_GBK"/>
          <w:sz w:val="24"/>
          <w:szCs w:val="32"/>
        </w:rPr>
      </w:pPr>
      <w:r>
        <w:rPr>
          <w:rFonts w:hint="eastAsia" w:ascii="Times New Roman" w:hAnsi="Times New Roman" w:eastAsia="方正仿宋_GBK"/>
          <w:sz w:val="24"/>
          <w:szCs w:val="32"/>
        </w:rPr>
        <w:t>单位简介及应选人需要提供的其他证明材料</w:t>
      </w:r>
    </w:p>
    <w:p>
      <w:pPr>
        <w:pStyle w:val="6"/>
        <w:spacing w:line="240" w:lineRule="auto"/>
        <w:sectPr>
          <w:headerReference r:id="rId5" w:type="default"/>
          <w:pgSz w:w="11906" w:h="16838"/>
          <w:pgMar w:top="1134" w:right="1134" w:bottom="1134" w:left="1134" w:header="851" w:footer="992" w:gutter="0"/>
          <w:cols w:space="425" w:num="1"/>
          <w:docGrid w:type="lines" w:linePitch="312" w:charSpace="0"/>
        </w:sectPr>
      </w:pPr>
    </w:p>
    <w:p>
      <w:pPr>
        <w:pStyle w:val="6"/>
        <w:spacing w:line="240" w:lineRule="auto"/>
      </w:pP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MingLiU">
    <w:panose1 w:val="02020509000000000000"/>
    <w:charset w:val="88"/>
    <w:family w:val="modern"/>
    <w:pitch w:val="default"/>
    <w:sig w:usb0="A00002FF" w:usb1="28CFFCFA" w:usb2="00000016" w:usb3="00000000" w:csb0="00100001" w:csb1="00000000"/>
  </w:font>
  <w:font w:name="Arial Unicode MS">
    <w:altName w:val="Arial"/>
    <w:panose1 w:val="020B0604020202020204"/>
    <w:charset w:val="80"/>
    <w:family w:val="swiss"/>
    <w:pitch w:val="default"/>
    <w:sig w:usb0="00000000" w:usb1="00000000" w:usb2="0000003F" w:usb3="00000000" w:csb0="603F01FF" w:csb1="FFFF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0397099"/>
    </w:sdtPr>
    <w:sdtContent>
      <w:p>
        <w:pPr>
          <w:pStyle w:val="11"/>
          <w:jc w:val="center"/>
        </w:pPr>
        <w:r>
          <w:rPr>
            <w:rFonts w:ascii="Times New Roman" w:hAnsi="Times New Roman" w:cs="Times New Roman"/>
          </w:rPr>
          <w:fldChar w:fldCharType="begin"/>
        </w:r>
        <w:r>
          <w:rPr>
            <w:rFonts w:ascii="Times New Roman" w:hAnsi="Times New Roman" w:cs="Times New Roman"/>
          </w:rPr>
          <w:instrText xml:space="preserve">PAGE   \* MERGEFORMAT</w:instrText>
        </w:r>
        <w:r>
          <w:rPr>
            <w:rFonts w:ascii="Times New Roman" w:hAnsi="Times New Roman" w:cs="Times New Roman"/>
          </w:rPr>
          <w:fldChar w:fldCharType="separate"/>
        </w:r>
        <w:r>
          <w:rPr>
            <w:rFonts w:ascii="Times New Roman" w:hAnsi="Times New Roman"/>
            <w:lang w:val="zh-CN"/>
          </w:rPr>
          <w:t>5</w:t>
        </w:r>
        <w:r>
          <w:rPr>
            <w:rFonts w:ascii="Times New Roman" w:hAnsi="Times New Roman" w:cs="Times New Roman"/>
          </w:rPr>
          <w:fldChar w:fldCharType="end"/>
        </w:r>
      </w:p>
    </w:sdtContent>
  </w:sdt>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tabs>
        <w:tab w:val="right" w:pos="9072"/>
        <w:tab w:val="clear" w:pos="8306"/>
      </w:tabs>
      <w:jc w:val="both"/>
      <w:rPr>
        <w:rFonts w:ascii="宋体" w:hAnsi="宋体"/>
      </w:rPr>
    </w:pPr>
    <w:r>
      <w:rPr>
        <w:rFonts w:hint="eastAsia"/>
        <w:sz w:val="21"/>
        <w:szCs w:val="21"/>
      </w:rPr>
      <w:t xml:space="preserve">                        </w:t>
    </w:r>
    <w:r>
      <w:rPr>
        <w:rFonts w:hint="eastAsia" w:ascii="宋体" w:hAnsi="宋体"/>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CBFFAAD"/>
    <w:multiLevelType w:val="singleLevel"/>
    <w:tmpl w:val="ECBFFAAD"/>
    <w:lvl w:ilvl="0" w:tentative="0">
      <w:start w:val="1"/>
      <w:numFmt w:val="chineseCounting"/>
      <w:suff w:val="space"/>
      <w:lvlText w:val="第%1章"/>
      <w:lvlJc w:val="left"/>
      <w:rPr>
        <w:rFonts w:hint="eastAsia"/>
      </w:rPr>
    </w:lvl>
  </w:abstractNum>
  <w:abstractNum w:abstractNumId="1">
    <w:nsid w:val="1964B537"/>
    <w:multiLevelType w:val="singleLevel"/>
    <w:tmpl w:val="1964B537"/>
    <w:lvl w:ilvl="0" w:tentative="0">
      <w:start w:val="4"/>
      <w:numFmt w:val="chineseCounting"/>
      <w:suff w:val="space"/>
      <w:lvlText w:val="第%1章"/>
      <w:lvlJc w:val="left"/>
      <w:rPr>
        <w:rFonts w:hint="eastAsia"/>
      </w:rPr>
    </w:lvl>
  </w:abstractNum>
  <w:abstractNum w:abstractNumId="2">
    <w:nsid w:val="541859FA"/>
    <w:multiLevelType w:val="multilevel"/>
    <w:tmpl w:val="541859FA"/>
    <w:lvl w:ilvl="0" w:tentative="0">
      <w:start w:val="1"/>
      <w:numFmt w:val="japaneseCounting"/>
      <w:lvlText w:val="%1、"/>
      <w:lvlJc w:val="left"/>
      <w:pPr>
        <w:tabs>
          <w:tab w:val="left" w:pos="420"/>
        </w:tabs>
        <w:ind w:left="420" w:hanging="420"/>
      </w:pPr>
      <w:rPr>
        <w:rFonts w:hint="eastAsia"/>
        <w:lang w:val="en-US"/>
      </w:rPr>
    </w:lvl>
    <w:lvl w:ilvl="1" w:tentative="0">
      <w:start w:val="1"/>
      <w:numFmt w:val="decimal"/>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740"/>
        </w:tabs>
        <w:ind w:left="1740" w:hanging="480"/>
      </w:pPr>
      <w:rPr>
        <w:rFonts w:hint="eastAsia"/>
      </w:rPr>
    </w:lvl>
    <w:lvl w:ilvl="4" w:tentative="0">
      <w:start w:val="1"/>
      <w:numFmt w:val="decimal"/>
      <w:lvlText w:val="（%5）"/>
      <w:lvlJc w:val="left"/>
      <w:pPr>
        <w:tabs>
          <w:tab w:val="left" w:pos="2400"/>
        </w:tabs>
        <w:ind w:left="2400" w:hanging="720"/>
      </w:pPr>
      <w:rPr>
        <w:rFonts w:hint="eastAsia"/>
      </w:rPr>
    </w:lvl>
    <w:lvl w:ilvl="5" w:tentative="0">
      <w:start w:val="3"/>
      <w:numFmt w:val="decimalFullWidth"/>
      <w:lvlText w:val="%6．"/>
      <w:lvlJc w:val="left"/>
      <w:pPr>
        <w:tabs>
          <w:tab w:val="left" w:pos="2580"/>
        </w:tabs>
        <w:ind w:left="2580" w:hanging="480"/>
      </w:pPr>
      <w:rPr>
        <w:rFonts w:hint="default" w:ascii="宋体" w:hAnsi="宋体" w:eastAsia="宋体"/>
        <w:sz w:val="24"/>
      </w:r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hideSpellingErrors/>
  <w:trackRevisions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VkNzEwMzJmYTJkNDJkZjk4NmZlY2QyMzEwZTZkMWMifQ=="/>
  </w:docVars>
  <w:rsids>
    <w:rsidRoot w:val="00172A27"/>
    <w:rsid w:val="00003F6C"/>
    <w:rsid w:val="00004231"/>
    <w:rsid w:val="00012919"/>
    <w:rsid w:val="00016704"/>
    <w:rsid w:val="00023DF3"/>
    <w:rsid w:val="0003438A"/>
    <w:rsid w:val="00040062"/>
    <w:rsid w:val="00040B8D"/>
    <w:rsid w:val="000522ED"/>
    <w:rsid w:val="00061025"/>
    <w:rsid w:val="00061F06"/>
    <w:rsid w:val="0006290D"/>
    <w:rsid w:val="00063C09"/>
    <w:rsid w:val="000642C8"/>
    <w:rsid w:val="00064B4D"/>
    <w:rsid w:val="00070843"/>
    <w:rsid w:val="00073FD4"/>
    <w:rsid w:val="000770D2"/>
    <w:rsid w:val="000805C1"/>
    <w:rsid w:val="00090511"/>
    <w:rsid w:val="0009134A"/>
    <w:rsid w:val="00094EA3"/>
    <w:rsid w:val="000A379C"/>
    <w:rsid w:val="000A4DCE"/>
    <w:rsid w:val="000A53A3"/>
    <w:rsid w:val="000A564E"/>
    <w:rsid w:val="000B1C0B"/>
    <w:rsid w:val="000B28F9"/>
    <w:rsid w:val="000C13B0"/>
    <w:rsid w:val="000C1832"/>
    <w:rsid w:val="000C2B97"/>
    <w:rsid w:val="000D0300"/>
    <w:rsid w:val="000D112D"/>
    <w:rsid w:val="000D6AAF"/>
    <w:rsid w:val="000D7CEA"/>
    <w:rsid w:val="000E71DA"/>
    <w:rsid w:val="000F0ACA"/>
    <w:rsid w:val="000F4CF0"/>
    <w:rsid w:val="000F7586"/>
    <w:rsid w:val="001053A5"/>
    <w:rsid w:val="00107FBD"/>
    <w:rsid w:val="00112BAE"/>
    <w:rsid w:val="00114864"/>
    <w:rsid w:val="00115870"/>
    <w:rsid w:val="001242D9"/>
    <w:rsid w:val="001254D1"/>
    <w:rsid w:val="00125D6D"/>
    <w:rsid w:val="00126249"/>
    <w:rsid w:val="00130BCB"/>
    <w:rsid w:val="001316B4"/>
    <w:rsid w:val="0013268F"/>
    <w:rsid w:val="00134F3F"/>
    <w:rsid w:val="0013530E"/>
    <w:rsid w:val="00135A73"/>
    <w:rsid w:val="00137887"/>
    <w:rsid w:val="00142961"/>
    <w:rsid w:val="001553FA"/>
    <w:rsid w:val="00156235"/>
    <w:rsid w:val="001600FB"/>
    <w:rsid w:val="00161805"/>
    <w:rsid w:val="0016557A"/>
    <w:rsid w:val="00172A27"/>
    <w:rsid w:val="00173A63"/>
    <w:rsid w:val="00173D7D"/>
    <w:rsid w:val="00176E8F"/>
    <w:rsid w:val="00181979"/>
    <w:rsid w:val="00184B5A"/>
    <w:rsid w:val="00186A01"/>
    <w:rsid w:val="001A0646"/>
    <w:rsid w:val="001A2AC5"/>
    <w:rsid w:val="001A40AC"/>
    <w:rsid w:val="001A4337"/>
    <w:rsid w:val="001A5B55"/>
    <w:rsid w:val="001B2092"/>
    <w:rsid w:val="001B722B"/>
    <w:rsid w:val="001C0CFF"/>
    <w:rsid w:val="001C0E1C"/>
    <w:rsid w:val="001C234C"/>
    <w:rsid w:val="001C3617"/>
    <w:rsid w:val="001C68EB"/>
    <w:rsid w:val="001D13A5"/>
    <w:rsid w:val="001D2BD4"/>
    <w:rsid w:val="001D6161"/>
    <w:rsid w:val="001E3851"/>
    <w:rsid w:val="001E78B8"/>
    <w:rsid w:val="001E7FF8"/>
    <w:rsid w:val="001F46C6"/>
    <w:rsid w:val="001F560D"/>
    <w:rsid w:val="00201A0A"/>
    <w:rsid w:val="002146C1"/>
    <w:rsid w:val="00216E7E"/>
    <w:rsid w:val="002259D3"/>
    <w:rsid w:val="0022609D"/>
    <w:rsid w:val="00232354"/>
    <w:rsid w:val="0023408B"/>
    <w:rsid w:val="00234AB3"/>
    <w:rsid w:val="00234B9B"/>
    <w:rsid w:val="00236636"/>
    <w:rsid w:val="0024040A"/>
    <w:rsid w:val="00241CA7"/>
    <w:rsid w:val="00256AE6"/>
    <w:rsid w:val="00263059"/>
    <w:rsid w:val="0026594E"/>
    <w:rsid w:val="00273348"/>
    <w:rsid w:val="00274492"/>
    <w:rsid w:val="002753F3"/>
    <w:rsid w:val="00277A4E"/>
    <w:rsid w:val="00280957"/>
    <w:rsid w:val="00284DC3"/>
    <w:rsid w:val="00286429"/>
    <w:rsid w:val="00290AD6"/>
    <w:rsid w:val="00291422"/>
    <w:rsid w:val="002920FE"/>
    <w:rsid w:val="00295929"/>
    <w:rsid w:val="002A79BE"/>
    <w:rsid w:val="002B09C8"/>
    <w:rsid w:val="002B0C3A"/>
    <w:rsid w:val="002B198A"/>
    <w:rsid w:val="002B47F8"/>
    <w:rsid w:val="002B5B48"/>
    <w:rsid w:val="002C0C68"/>
    <w:rsid w:val="002C1DBF"/>
    <w:rsid w:val="002C3645"/>
    <w:rsid w:val="002C5E71"/>
    <w:rsid w:val="002C5EAA"/>
    <w:rsid w:val="002D1F36"/>
    <w:rsid w:val="002E2B66"/>
    <w:rsid w:val="002E7C06"/>
    <w:rsid w:val="002F19C8"/>
    <w:rsid w:val="002F219A"/>
    <w:rsid w:val="002F3799"/>
    <w:rsid w:val="002F42AF"/>
    <w:rsid w:val="002F47DF"/>
    <w:rsid w:val="002F5642"/>
    <w:rsid w:val="0030136B"/>
    <w:rsid w:val="0030431E"/>
    <w:rsid w:val="003068D6"/>
    <w:rsid w:val="00310172"/>
    <w:rsid w:val="003262EB"/>
    <w:rsid w:val="003336FA"/>
    <w:rsid w:val="00334BDE"/>
    <w:rsid w:val="00336137"/>
    <w:rsid w:val="00337F6A"/>
    <w:rsid w:val="00352120"/>
    <w:rsid w:val="0035361B"/>
    <w:rsid w:val="0036125E"/>
    <w:rsid w:val="00361DBD"/>
    <w:rsid w:val="00371663"/>
    <w:rsid w:val="00374419"/>
    <w:rsid w:val="00374FBC"/>
    <w:rsid w:val="0037519D"/>
    <w:rsid w:val="003936EA"/>
    <w:rsid w:val="003945D9"/>
    <w:rsid w:val="00395F5D"/>
    <w:rsid w:val="003A03D6"/>
    <w:rsid w:val="003A26E7"/>
    <w:rsid w:val="003A53C8"/>
    <w:rsid w:val="003A6C27"/>
    <w:rsid w:val="003A6F8F"/>
    <w:rsid w:val="003A7085"/>
    <w:rsid w:val="003B24A5"/>
    <w:rsid w:val="003B4DA2"/>
    <w:rsid w:val="003B6354"/>
    <w:rsid w:val="003B6492"/>
    <w:rsid w:val="003C0DED"/>
    <w:rsid w:val="003C1C6B"/>
    <w:rsid w:val="003C1CA4"/>
    <w:rsid w:val="003C6F2E"/>
    <w:rsid w:val="003D5029"/>
    <w:rsid w:val="003E3B82"/>
    <w:rsid w:val="003E4627"/>
    <w:rsid w:val="003E46B4"/>
    <w:rsid w:val="003E52CF"/>
    <w:rsid w:val="003E788B"/>
    <w:rsid w:val="003F5A24"/>
    <w:rsid w:val="003F7694"/>
    <w:rsid w:val="004024D7"/>
    <w:rsid w:val="00402EFF"/>
    <w:rsid w:val="00403ACE"/>
    <w:rsid w:val="004107A1"/>
    <w:rsid w:val="00411048"/>
    <w:rsid w:val="004140F8"/>
    <w:rsid w:val="00415307"/>
    <w:rsid w:val="00424E87"/>
    <w:rsid w:val="00426176"/>
    <w:rsid w:val="00427B6B"/>
    <w:rsid w:val="00430288"/>
    <w:rsid w:val="004319BC"/>
    <w:rsid w:val="0043391A"/>
    <w:rsid w:val="00435943"/>
    <w:rsid w:val="00437544"/>
    <w:rsid w:val="00440618"/>
    <w:rsid w:val="004418D1"/>
    <w:rsid w:val="004445CB"/>
    <w:rsid w:val="0045074E"/>
    <w:rsid w:val="00450C68"/>
    <w:rsid w:val="00452278"/>
    <w:rsid w:val="00452F5A"/>
    <w:rsid w:val="00454A93"/>
    <w:rsid w:val="00456ADA"/>
    <w:rsid w:val="0046125E"/>
    <w:rsid w:val="00461FB7"/>
    <w:rsid w:val="00462209"/>
    <w:rsid w:val="00463EE3"/>
    <w:rsid w:val="00466F3E"/>
    <w:rsid w:val="00471434"/>
    <w:rsid w:val="00473B1A"/>
    <w:rsid w:val="004750DF"/>
    <w:rsid w:val="004819AB"/>
    <w:rsid w:val="00481D5B"/>
    <w:rsid w:val="00484341"/>
    <w:rsid w:val="00487AED"/>
    <w:rsid w:val="00493457"/>
    <w:rsid w:val="0049604C"/>
    <w:rsid w:val="004A40D6"/>
    <w:rsid w:val="004A595E"/>
    <w:rsid w:val="004A6232"/>
    <w:rsid w:val="004B4566"/>
    <w:rsid w:val="004B7519"/>
    <w:rsid w:val="004C6452"/>
    <w:rsid w:val="004D0617"/>
    <w:rsid w:val="004D1C17"/>
    <w:rsid w:val="004D6872"/>
    <w:rsid w:val="004E5396"/>
    <w:rsid w:val="004E7CDD"/>
    <w:rsid w:val="004F32BE"/>
    <w:rsid w:val="004F3990"/>
    <w:rsid w:val="004F4215"/>
    <w:rsid w:val="004F5AA9"/>
    <w:rsid w:val="004F6B69"/>
    <w:rsid w:val="00503F0C"/>
    <w:rsid w:val="00505915"/>
    <w:rsid w:val="005116EA"/>
    <w:rsid w:val="00512DCD"/>
    <w:rsid w:val="00513712"/>
    <w:rsid w:val="005164D4"/>
    <w:rsid w:val="0052295E"/>
    <w:rsid w:val="00527BA3"/>
    <w:rsid w:val="00530FFE"/>
    <w:rsid w:val="00534DBC"/>
    <w:rsid w:val="00544A57"/>
    <w:rsid w:val="00546EE8"/>
    <w:rsid w:val="005513E3"/>
    <w:rsid w:val="0056076F"/>
    <w:rsid w:val="00561F24"/>
    <w:rsid w:val="00566B58"/>
    <w:rsid w:val="00566DC7"/>
    <w:rsid w:val="00566F04"/>
    <w:rsid w:val="00581560"/>
    <w:rsid w:val="0058188E"/>
    <w:rsid w:val="00583D42"/>
    <w:rsid w:val="005841DB"/>
    <w:rsid w:val="0058748E"/>
    <w:rsid w:val="00587E01"/>
    <w:rsid w:val="00594CD5"/>
    <w:rsid w:val="0059584B"/>
    <w:rsid w:val="00596511"/>
    <w:rsid w:val="005A0C29"/>
    <w:rsid w:val="005A40FA"/>
    <w:rsid w:val="005A6D72"/>
    <w:rsid w:val="005A71BA"/>
    <w:rsid w:val="005B4A11"/>
    <w:rsid w:val="005B7321"/>
    <w:rsid w:val="005C5A5C"/>
    <w:rsid w:val="005E189B"/>
    <w:rsid w:val="005E2514"/>
    <w:rsid w:val="005E3C51"/>
    <w:rsid w:val="005E6030"/>
    <w:rsid w:val="005F1366"/>
    <w:rsid w:val="005F1E0A"/>
    <w:rsid w:val="005F395C"/>
    <w:rsid w:val="005F4EF4"/>
    <w:rsid w:val="00603C1E"/>
    <w:rsid w:val="00603DB6"/>
    <w:rsid w:val="00604BE8"/>
    <w:rsid w:val="00605650"/>
    <w:rsid w:val="006107E9"/>
    <w:rsid w:val="0061271B"/>
    <w:rsid w:val="00620515"/>
    <w:rsid w:val="006310A3"/>
    <w:rsid w:val="006315C5"/>
    <w:rsid w:val="00633C2E"/>
    <w:rsid w:val="006378B6"/>
    <w:rsid w:val="00643812"/>
    <w:rsid w:val="00655340"/>
    <w:rsid w:val="0065659B"/>
    <w:rsid w:val="006613BB"/>
    <w:rsid w:val="00661EE7"/>
    <w:rsid w:val="00664474"/>
    <w:rsid w:val="00665BA1"/>
    <w:rsid w:val="006734E8"/>
    <w:rsid w:val="00673E2E"/>
    <w:rsid w:val="0068192C"/>
    <w:rsid w:val="00682147"/>
    <w:rsid w:val="006901F5"/>
    <w:rsid w:val="00692E0E"/>
    <w:rsid w:val="00693420"/>
    <w:rsid w:val="006A67C1"/>
    <w:rsid w:val="006A6B52"/>
    <w:rsid w:val="006B0B9B"/>
    <w:rsid w:val="006B28D9"/>
    <w:rsid w:val="006B51B3"/>
    <w:rsid w:val="006B5667"/>
    <w:rsid w:val="006B5ADC"/>
    <w:rsid w:val="006B7671"/>
    <w:rsid w:val="006C0E23"/>
    <w:rsid w:val="006C119E"/>
    <w:rsid w:val="006C1CB1"/>
    <w:rsid w:val="006C5027"/>
    <w:rsid w:val="006C54F2"/>
    <w:rsid w:val="006C718C"/>
    <w:rsid w:val="006D20AD"/>
    <w:rsid w:val="006D2E57"/>
    <w:rsid w:val="006D4FD2"/>
    <w:rsid w:val="006D5006"/>
    <w:rsid w:val="006D67A8"/>
    <w:rsid w:val="006D6C34"/>
    <w:rsid w:val="006D73A0"/>
    <w:rsid w:val="006F3B7E"/>
    <w:rsid w:val="006F61F6"/>
    <w:rsid w:val="0070072F"/>
    <w:rsid w:val="00701CFF"/>
    <w:rsid w:val="00701DE6"/>
    <w:rsid w:val="0070336E"/>
    <w:rsid w:val="00703844"/>
    <w:rsid w:val="00703FA9"/>
    <w:rsid w:val="007048E5"/>
    <w:rsid w:val="00707ACA"/>
    <w:rsid w:val="00710DCC"/>
    <w:rsid w:val="00713BC0"/>
    <w:rsid w:val="00713EB4"/>
    <w:rsid w:val="00715EAC"/>
    <w:rsid w:val="00717D4D"/>
    <w:rsid w:val="00726259"/>
    <w:rsid w:val="00727AB0"/>
    <w:rsid w:val="00732B5B"/>
    <w:rsid w:val="0073505E"/>
    <w:rsid w:val="00735E91"/>
    <w:rsid w:val="007423A9"/>
    <w:rsid w:val="007504BD"/>
    <w:rsid w:val="00751C56"/>
    <w:rsid w:val="00751C5E"/>
    <w:rsid w:val="00755326"/>
    <w:rsid w:val="00756928"/>
    <w:rsid w:val="00763DB5"/>
    <w:rsid w:val="00770FB7"/>
    <w:rsid w:val="00772CF6"/>
    <w:rsid w:val="00780084"/>
    <w:rsid w:val="007846F4"/>
    <w:rsid w:val="00786120"/>
    <w:rsid w:val="00795BD9"/>
    <w:rsid w:val="007A020C"/>
    <w:rsid w:val="007A06CB"/>
    <w:rsid w:val="007A505F"/>
    <w:rsid w:val="007A744F"/>
    <w:rsid w:val="007B1EBF"/>
    <w:rsid w:val="007B3A29"/>
    <w:rsid w:val="007B6CE2"/>
    <w:rsid w:val="007C6F14"/>
    <w:rsid w:val="007D21E3"/>
    <w:rsid w:val="007D67FE"/>
    <w:rsid w:val="007E1D8A"/>
    <w:rsid w:val="007E6D4E"/>
    <w:rsid w:val="007F0D3E"/>
    <w:rsid w:val="007F3A93"/>
    <w:rsid w:val="007F5E2C"/>
    <w:rsid w:val="008059B4"/>
    <w:rsid w:val="00811D40"/>
    <w:rsid w:val="00823259"/>
    <w:rsid w:val="0082439F"/>
    <w:rsid w:val="00832446"/>
    <w:rsid w:val="008350C5"/>
    <w:rsid w:val="008360EE"/>
    <w:rsid w:val="008365A6"/>
    <w:rsid w:val="00836CE8"/>
    <w:rsid w:val="00845748"/>
    <w:rsid w:val="008559AE"/>
    <w:rsid w:val="00857211"/>
    <w:rsid w:val="00857C9B"/>
    <w:rsid w:val="00870A2F"/>
    <w:rsid w:val="00871D99"/>
    <w:rsid w:val="008721B1"/>
    <w:rsid w:val="00891E18"/>
    <w:rsid w:val="0089472E"/>
    <w:rsid w:val="0089645C"/>
    <w:rsid w:val="008A19EB"/>
    <w:rsid w:val="008A4205"/>
    <w:rsid w:val="008A53C2"/>
    <w:rsid w:val="008B04EB"/>
    <w:rsid w:val="008B179E"/>
    <w:rsid w:val="008B74D9"/>
    <w:rsid w:val="008B7B4F"/>
    <w:rsid w:val="008B7DC1"/>
    <w:rsid w:val="008C2241"/>
    <w:rsid w:val="008C5EB1"/>
    <w:rsid w:val="008C60C7"/>
    <w:rsid w:val="008D0E32"/>
    <w:rsid w:val="008D6ADE"/>
    <w:rsid w:val="008D75BA"/>
    <w:rsid w:val="008E1094"/>
    <w:rsid w:val="008F149D"/>
    <w:rsid w:val="008F27EC"/>
    <w:rsid w:val="008F7B16"/>
    <w:rsid w:val="00900726"/>
    <w:rsid w:val="00901DD6"/>
    <w:rsid w:val="00917698"/>
    <w:rsid w:val="00923093"/>
    <w:rsid w:val="009240E3"/>
    <w:rsid w:val="00932EF4"/>
    <w:rsid w:val="00934BB2"/>
    <w:rsid w:val="00936BE0"/>
    <w:rsid w:val="009452C1"/>
    <w:rsid w:val="009475BA"/>
    <w:rsid w:val="00953551"/>
    <w:rsid w:val="00954561"/>
    <w:rsid w:val="00955288"/>
    <w:rsid w:val="00955375"/>
    <w:rsid w:val="00970523"/>
    <w:rsid w:val="00972D48"/>
    <w:rsid w:val="00976AE8"/>
    <w:rsid w:val="009804FF"/>
    <w:rsid w:val="009810E5"/>
    <w:rsid w:val="009828BD"/>
    <w:rsid w:val="00982A72"/>
    <w:rsid w:val="00983F42"/>
    <w:rsid w:val="00986C49"/>
    <w:rsid w:val="00991681"/>
    <w:rsid w:val="00991C7D"/>
    <w:rsid w:val="00991EA2"/>
    <w:rsid w:val="009B202F"/>
    <w:rsid w:val="009B6F49"/>
    <w:rsid w:val="009C0DE9"/>
    <w:rsid w:val="009C2ACB"/>
    <w:rsid w:val="009C4645"/>
    <w:rsid w:val="009C7E91"/>
    <w:rsid w:val="009D085E"/>
    <w:rsid w:val="009D122A"/>
    <w:rsid w:val="009E51B2"/>
    <w:rsid w:val="009F6FF6"/>
    <w:rsid w:val="00A0290D"/>
    <w:rsid w:val="00A10E97"/>
    <w:rsid w:val="00A14F4B"/>
    <w:rsid w:val="00A159E2"/>
    <w:rsid w:val="00A2355A"/>
    <w:rsid w:val="00A257AC"/>
    <w:rsid w:val="00A26105"/>
    <w:rsid w:val="00A36E88"/>
    <w:rsid w:val="00A37EC8"/>
    <w:rsid w:val="00A42562"/>
    <w:rsid w:val="00A425E9"/>
    <w:rsid w:val="00A47ECF"/>
    <w:rsid w:val="00A56A6C"/>
    <w:rsid w:val="00A714A4"/>
    <w:rsid w:val="00A73632"/>
    <w:rsid w:val="00A74E96"/>
    <w:rsid w:val="00A766DB"/>
    <w:rsid w:val="00A84D06"/>
    <w:rsid w:val="00A87AB4"/>
    <w:rsid w:val="00A87F1A"/>
    <w:rsid w:val="00A921A5"/>
    <w:rsid w:val="00A970FE"/>
    <w:rsid w:val="00AA1210"/>
    <w:rsid w:val="00AA300F"/>
    <w:rsid w:val="00AA5FD5"/>
    <w:rsid w:val="00AB4203"/>
    <w:rsid w:val="00AB58A4"/>
    <w:rsid w:val="00AC0A46"/>
    <w:rsid w:val="00AC155D"/>
    <w:rsid w:val="00AC4672"/>
    <w:rsid w:val="00AC58CE"/>
    <w:rsid w:val="00AE6D14"/>
    <w:rsid w:val="00AE7552"/>
    <w:rsid w:val="00AF17E4"/>
    <w:rsid w:val="00AF68BA"/>
    <w:rsid w:val="00B02DAC"/>
    <w:rsid w:val="00B0549D"/>
    <w:rsid w:val="00B05712"/>
    <w:rsid w:val="00B11433"/>
    <w:rsid w:val="00B14ED6"/>
    <w:rsid w:val="00B1605E"/>
    <w:rsid w:val="00B2036B"/>
    <w:rsid w:val="00B21FE1"/>
    <w:rsid w:val="00B25313"/>
    <w:rsid w:val="00B33867"/>
    <w:rsid w:val="00B34C6C"/>
    <w:rsid w:val="00B35A05"/>
    <w:rsid w:val="00B44608"/>
    <w:rsid w:val="00B45051"/>
    <w:rsid w:val="00B47EEB"/>
    <w:rsid w:val="00B52D09"/>
    <w:rsid w:val="00B573D2"/>
    <w:rsid w:val="00B67B52"/>
    <w:rsid w:val="00B741EC"/>
    <w:rsid w:val="00B80D74"/>
    <w:rsid w:val="00B816ED"/>
    <w:rsid w:val="00B94E93"/>
    <w:rsid w:val="00B95237"/>
    <w:rsid w:val="00B96A1C"/>
    <w:rsid w:val="00BA18FA"/>
    <w:rsid w:val="00BA1FEF"/>
    <w:rsid w:val="00BA36EE"/>
    <w:rsid w:val="00BA4AAC"/>
    <w:rsid w:val="00BB7303"/>
    <w:rsid w:val="00BB775A"/>
    <w:rsid w:val="00BC101D"/>
    <w:rsid w:val="00BC1774"/>
    <w:rsid w:val="00BC1DD7"/>
    <w:rsid w:val="00BC63DE"/>
    <w:rsid w:val="00BC7450"/>
    <w:rsid w:val="00BD4380"/>
    <w:rsid w:val="00BD4EC4"/>
    <w:rsid w:val="00BE4070"/>
    <w:rsid w:val="00BF1669"/>
    <w:rsid w:val="00BF6FC8"/>
    <w:rsid w:val="00BF7777"/>
    <w:rsid w:val="00C02C22"/>
    <w:rsid w:val="00C038C7"/>
    <w:rsid w:val="00C048AA"/>
    <w:rsid w:val="00C07A63"/>
    <w:rsid w:val="00C1457D"/>
    <w:rsid w:val="00C20785"/>
    <w:rsid w:val="00C2105C"/>
    <w:rsid w:val="00C23784"/>
    <w:rsid w:val="00C24BB3"/>
    <w:rsid w:val="00C25952"/>
    <w:rsid w:val="00C276E0"/>
    <w:rsid w:val="00C3042A"/>
    <w:rsid w:val="00C3726E"/>
    <w:rsid w:val="00C410B1"/>
    <w:rsid w:val="00C4403A"/>
    <w:rsid w:val="00C5006D"/>
    <w:rsid w:val="00C51984"/>
    <w:rsid w:val="00C52900"/>
    <w:rsid w:val="00C53B43"/>
    <w:rsid w:val="00C558D9"/>
    <w:rsid w:val="00C55CBF"/>
    <w:rsid w:val="00C574D6"/>
    <w:rsid w:val="00C57736"/>
    <w:rsid w:val="00C57FDB"/>
    <w:rsid w:val="00C65D62"/>
    <w:rsid w:val="00C70053"/>
    <w:rsid w:val="00C708AB"/>
    <w:rsid w:val="00C70B02"/>
    <w:rsid w:val="00C7328B"/>
    <w:rsid w:val="00C7482D"/>
    <w:rsid w:val="00C75BC2"/>
    <w:rsid w:val="00C772F9"/>
    <w:rsid w:val="00C80322"/>
    <w:rsid w:val="00C804F7"/>
    <w:rsid w:val="00C923D2"/>
    <w:rsid w:val="00C92C35"/>
    <w:rsid w:val="00C9305E"/>
    <w:rsid w:val="00C93B0E"/>
    <w:rsid w:val="00C96231"/>
    <w:rsid w:val="00CA529D"/>
    <w:rsid w:val="00CA6F60"/>
    <w:rsid w:val="00CA7595"/>
    <w:rsid w:val="00CB0B70"/>
    <w:rsid w:val="00CB4AEF"/>
    <w:rsid w:val="00CB775A"/>
    <w:rsid w:val="00CC57D0"/>
    <w:rsid w:val="00CC6A21"/>
    <w:rsid w:val="00CC73E7"/>
    <w:rsid w:val="00CD0B80"/>
    <w:rsid w:val="00CD148D"/>
    <w:rsid w:val="00CD1CE1"/>
    <w:rsid w:val="00CD211D"/>
    <w:rsid w:val="00CD268B"/>
    <w:rsid w:val="00CE2AAB"/>
    <w:rsid w:val="00CE5F5F"/>
    <w:rsid w:val="00CE6942"/>
    <w:rsid w:val="00CE6CD6"/>
    <w:rsid w:val="00CF50C7"/>
    <w:rsid w:val="00CF5171"/>
    <w:rsid w:val="00CF70AA"/>
    <w:rsid w:val="00D0478C"/>
    <w:rsid w:val="00D139CC"/>
    <w:rsid w:val="00D172B0"/>
    <w:rsid w:val="00D2126B"/>
    <w:rsid w:val="00D2166E"/>
    <w:rsid w:val="00D264ED"/>
    <w:rsid w:val="00D31624"/>
    <w:rsid w:val="00D3702F"/>
    <w:rsid w:val="00D37E70"/>
    <w:rsid w:val="00D42EE6"/>
    <w:rsid w:val="00D43A3E"/>
    <w:rsid w:val="00D43BAD"/>
    <w:rsid w:val="00D45050"/>
    <w:rsid w:val="00D47276"/>
    <w:rsid w:val="00D5087B"/>
    <w:rsid w:val="00D51B47"/>
    <w:rsid w:val="00D62747"/>
    <w:rsid w:val="00D63096"/>
    <w:rsid w:val="00D65649"/>
    <w:rsid w:val="00D71DDA"/>
    <w:rsid w:val="00D75EAE"/>
    <w:rsid w:val="00D762ED"/>
    <w:rsid w:val="00D7650A"/>
    <w:rsid w:val="00D81F09"/>
    <w:rsid w:val="00D82352"/>
    <w:rsid w:val="00D82A7E"/>
    <w:rsid w:val="00D93F68"/>
    <w:rsid w:val="00D95616"/>
    <w:rsid w:val="00D95692"/>
    <w:rsid w:val="00D95DEE"/>
    <w:rsid w:val="00D96F37"/>
    <w:rsid w:val="00DA057E"/>
    <w:rsid w:val="00DA0855"/>
    <w:rsid w:val="00DA1633"/>
    <w:rsid w:val="00DB1AFF"/>
    <w:rsid w:val="00DB476F"/>
    <w:rsid w:val="00DB4901"/>
    <w:rsid w:val="00DB7FBD"/>
    <w:rsid w:val="00DC1861"/>
    <w:rsid w:val="00DC65F3"/>
    <w:rsid w:val="00DD717E"/>
    <w:rsid w:val="00DE0492"/>
    <w:rsid w:val="00DE5E21"/>
    <w:rsid w:val="00DE707B"/>
    <w:rsid w:val="00DE70E1"/>
    <w:rsid w:val="00DF0F15"/>
    <w:rsid w:val="00DF493C"/>
    <w:rsid w:val="00E004DE"/>
    <w:rsid w:val="00E02068"/>
    <w:rsid w:val="00E0419C"/>
    <w:rsid w:val="00E05DB1"/>
    <w:rsid w:val="00E074E5"/>
    <w:rsid w:val="00E10AA6"/>
    <w:rsid w:val="00E10FA5"/>
    <w:rsid w:val="00E14E75"/>
    <w:rsid w:val="00E17C3F"/>
    <w:rsid w:val="00E20BA2"/>
    <w:rsid w:val="00E223E6"/>
    <w:rsid w:val="00E22618"/>
    <w:rsid w:val="00E24783"/>
    <w:rsid w:val="00E32401"/>
    <w:rsid w:val="00E3693B"/>
    <w:rsid w:val="00E51215"/>
    <w:rsid w:val="00E5160E"/>
    <w:rsid w:val="00E51B21"/>
    <w:rsid w:val="00E534DC"/>
    <w:rsid w:val="00E6090B"/>
    <w:rsid w:val="00E61DA0"/>
    <w:rsid w:val="00E64AEA"/>
    <w:rsid w:val="00E65500"/>
    <w:rsid w:val="00E66BCD"/>
    <w:rsid w:val="00E709A7"/>
    <w:rsid w:val="00E802A4"/>
    <w:rsid w:val="00E8289A"/>
    <w:rsid w:val="00E839C1"/>
    <w:rsid w:val="00E844FD"/>
    <w:rsid w:val="00E847C6"/>
    <w:rsid w:val="00E9133D"/>
    <w:rsid w:val="00E915A0"/>
    <w:rsid w:val="00E93B81"/>
    <w:rsid w:val="00EA464D"/>
    <w:rsid w:val="00EA6924"/>
    <w:rsid w:val="00ED03CC"/>
    <w:rsid w:val="00ED1691"/>
    <w:rsid w:val="00ED4A40"/>
    <w:rsid w:val="00ED6DF7"/>
    <w:rsid w:val="00EE0631"/>
    <w:rsid w:val="00EF56AA"/>
    <w:rsid w:val="00EF6B26"/>
    <w:rsid w:val="00F10619"/>
    <w:rsid w:val="00F247E7"/>
    <w:rsid w:val="00F25CC0"/>
    <w:rsid w:val="00F34217"/>
    <w:rsid w:val="00F34462"/>
    <w:rsid w:val="00F35CDA"/>
    <w:rsid w:val="00F36E36"/>
    <w:rsid w:val="00F40696"/>
    <w:rsid w:val="00F411D3"/>
    <w:rsid w:val="00F4547A"/>
    <w:rsid w:val="00F53D14"/>
    <w:rsid w:val="00F54514"/>
    <w:rsid w:val="00F56495"/>
    <w:rsid w:val="00F63853"/>
    <w:rsid w:val="00F666DC"/>
    <w:rsid w:val="00F73CBA"/>
    <w:rsid w:val="00F761E5"/>
    <w:rsid w:val="00F772E6"/>
    <w:rsid w:val="00F81562"/>
    <w:rsid w:val="00F816B7"/>
    <w:rsid w:val="00F83E88"/>
    <w:rsid w:val="00F8490E"/>
    <w:rsid w:val="00F85565"/>
    <w:rsid w:val="00F917A6"/>
    <w:rsid w:val="00F94E4A"/>
    <w:rsid w:val="00F97032"/>
    <w:rsid w:val="00F97FD4"/>
    <w:rsid w:val="00FA38A8"/>
    <w:rsid w:val="00FA424D"/>
    <w:rsid w:val="00FA657F"/>
    <w:rsid w:val="00FA7CAC"/>
    <w:rsid w:val="00FB3A59"/>
    <w:rsid w:val="00FB456F"/>
    <w:rsid w:val="00FB5014"/>
    <w:rsid w:val="00FC0F5A"/>
    <w:rsid w:val="00FC13D9"/>
    <w:rsid w:val="00FC23A7"/>
    <w:rsid w:val="00FC52E4"/>
    <w:rsid w:val="00FC5447"/>
    <w:rsid w:val="00FC784B"/>
    <w:rsid w:val="00FD390E"/>
    <w:rsid w:val="00FD419E"/>
    <w:rsid w:val="00FD4832"/>
    <w:rsid w:val="00FD4932"/>
    <w:rsid w:val="00FD6651"/>
    <w:rsid w:val="00FD694E"/>
    <w:rsid w:val="00FE1787"/>
    <w:rsid w:val="00FF5846"/>
    <w:rsid w:val="00FF5914"/>
    <w:rsid w:val="01117B4F"/>
    <w:rsid w:val="011F7716"/>
    <w:rsid w:val="01661076"/>
    <w:rsid w:val="01720FD5"/>
    <w:rsid w:val="01FD7B05"/>
    <w:rsid w:val="02001240"/>
    <w:rsid w:val="03434841"/>
    <w:rsid w:val="03E65B5A"/>
    <w:rsid w:val="03EB3187"/>
    <w:rsid w:val="04FC6F7B"/>
    <w:rsid w:val="05370386"/>
    <w:rsid w:val="069F4C94"/>
    <w:rsid w:val="06BA3C2A"/>
    <w:rsid w:val="07D0214D"/>
    <w:rsid w:val="08B36DF2"/>
    <w:rsid w:val="09293423"/>
    <w:rsid w:val="096B0682"/>
    <w:rsid w:val="097736A4"/>
    <w:rsid w:val="099D1ADF"/>
    <w:rsid w:val="09B81C99"/>
    <w:rsid w:val="09C84EDE"/>
    <w:rsid w:val="0CE00864"/>
    <w:rsid w:val="0CF74E59"/>
    <w:rsid w:val="0E177B5C"/>
    <w:rsid w:val="0E742DA7"/>
    <w:rsid w:val="0E866BDA"/>
    <w:rsid w:val="0EF63813"/>
    <w:rsid w:val="0F0658B0"/>
    <w:rsid w:val="0F0D1F40"/>
    <w:rsid w:val="0F3E5729"/>
    <w:rsid w:val="0F51622E"/>
    <w:rsid w:val="0F6E65C1"/>
    <w:rsid w:val="0F84533A"/>
    <w:rsid w:val="0F913C9B"/>
    <w:rsid w:val="0FB40BF3"/>
    <w:rsid w:val="0FD94EDD"/>
    <w:rsid w:val="10055A6C"/>
    <w:rsid w:val="10BA0C5E"/>
    <w:rsid w:val="110A3088"/>
    <w:rsid w:val="11586384"/>
    <w:rsid w:val="11623F22"/>
    <w:rsid w:val="126C725F"/>
    <w:rsid w:val="12A64E21"/>
    <w:rsid w:val="12C4175D"/>
    <w:rsid w:val="137801B6"/>
    <w:rsid w:val="137F66E1"/>
    <w:rsid w:val="13C05321"/>
    <w:rsid w:val="13FE5CA5"/>
    <w:rsid w:val="14C96C38"/>
    <w:rsid w:val="16235B46"/>
    <w:rsid w:val="164971BA"/>
    <w:rsid w:val="177732D4"/>
    <w:rsid w:val="185F18A4"/>
    <w:rsid w:val="18651543"/>
    <w:rsid w:val="18B93CA8"/>
    <w:rsid w:val="18F652B3"/>
    <w:rsid w:val="192926A6"/>
    <w:rsid w:val="19C01391"/>
    <w:rsid w:val="1A207237"/>
    <w:rsid w:val="1B587BDA"/>
    <w:rsid w:val="1C97347D"/>
    <w:rsid w:val="1CFC4125"/>
    <w:rsid w:val="1D5B10BF"/>
    <w:rsid w:val="1D6E0299"/>
    <w:rsid w:val="1D9A471E"/>
    <w:rsid w:val="1DB7412A"/>
    <w:rsid w:val="1E55664C"/>
    <w:rsid w:val="1EAA462A"/>
    <w:rsid w:val="1EF8499F"/>
    <w:rsid w:val="1F185395"/>
    <w:rsid w:val="1F2F72D5"/>
    <w:rsid w:val="20B86064"/>
    <w:rsid w:val="22241817"/>
    <w:rsid w:val="224E3C84"/>
    <w:rsid w:val="22AD4232"/>
    <w:rsid w:val="22D304A8"/>
    <w:rsid w:val="242F4AAC"/>
    <w:rsid w:val="247B7CEE"/>
    <w:rsid w:val="24D72270"/>
    <w:rsid w:val="25352E74"/>
    <w:rsid w:val="254A45E1"/>
    <w:rsid w:val="25C83F09"/>
    <w:rsid w:val="25D65031"/>
    <w:rsid w:val="26482CBA"/>
    <w:rsid w:val="27181936"/>
    <w:rsid w:val="272E286F"/>
    <w:rsid w:val="291D5E3D"/>
    <w:rsid w:val="29D10216"/>
    <w:rsid w:val="2A6B1955"/>
    <w:rsid w:val="2AB647F2"/>
    <w:rsid w:val="2AB92C87"/>
    <w:rsid w:val="2AC500B6"/>
    <w:rsid w:val="2ACE4541"/>
    <w:rsid w:val="2AE010E7"/>
    <w:rsid w:val="2AE35CA2"/>
    <w:rsid w:val="2B0A4AA6"/>
    <w:rsid w:val="2B825C0B"/>
    <w:rsid w:val="2B9175F5"/>
    <w:rsid w:val="2CCD000C"/>
    <w:rsid w:val="2D346CB2"/>
    <w:rsid w:val="2D515EF3"/>
    <w:rsid w:val="2DFB363A"/>
    <w:rsid w:val="2E98411F"/>
    <w:rsid w:val="2F4A62C7"/>
    <w:rsid w:val="2FBF0615"/>
    <w:rsid w:val="30006E38"/>
    <w:rsid w:val="301B46A8"/>
    <w:rsid w:val="30A839E7"/>
    <w:rsid w:val="316B2934"/>
    <w:rsid w:val="31902AC1"/>
    <w:rsid w:val="322758C3"/>
    <w:rsid w:val="322D3F33"/>
    <w:rsid w:val="32C66DCF"/>
    <w:rsid w:val="32FC0669"/>
    <w:rsid w:val="333C7ED7"/>
    <w:rsid w:val="338F424A"/>
    <w:rsid w:val="33ED6C72"/>
    <w:rsid w:val="34210263"/>
    <w:rsid w:val="3443587E"/>
    <w:rsid w:val="34AA7A4B"/>
    <w:rsid w:val="35131BE3"/>
    <w:rsid w:val="35162F1D"/>
    <w:rsid w:val="354E41C1"/>
    <w:rsid w:val="35C619A2"/>
    <w:rsid w:val="36AA4D42"/>
    <w:rsid w:val="36FA21DC"/>
    <w:rsid w:val="3717168D"/>
    <w:rsid w:val="37662EF7"/>
    <w:rsid w:val="378D17C4"/>
    <w:rsid w:val="3790050D"/>
    <w:rsid w:val="3820668A"/>
    <w:rsid w:val="3828151C"/>
    <w:rsid w:val="395676F3"/>
    <w:rsid w:val="39D1103C"/>
    <w:rsid w:val="39F65A02"/>
    <w:rsid w:val="3A27411A"/>
    <w:rsid w:val="3C4C033E"/>
    <w:rsid w:val="3C90022B"/>
    <w:rsid w:val="3DBD5009"/>
    <w:rsid w:val="3E5D691F"/>
    <w:rsid w:val="3E8D1622"/>
    <w:rsid w:val="3E9611F1"/>
    <w:rsid w:val="3EC3669B"/>
    <w:rsid w:val="3EE84773"/>
    <w:rsid w:val="3EF82219"/>
    <w:rsid w:val="4002309A"/>
    <w:rsid w:val="405A3948"/>
    <w:rsid w:val="408364CB"/>
    <w:rsid w:val="40A23BC9"/>
    <w:rsid w:val="41424497"/>
    <w:rsid w:val="41747DC8"/>
    <w:rsid w:val="42086DF4"/>
    <w:rsid w:val="421C2F24"/>
    <w:rsid w:val="42C06736"/>
    <w:rsid w:val="439529D0"/>
    <w:rsid w:val="43FC06C8"/>
    <w:rsid w:val="441659F9"/>
    <w:rsid w:val="441F2762"/>
    <w:rsid w:val="462D71BC"/>
    <w:rsid w:val="462E75A8"/>
    <w:rsid w:val="466D2A03"/>
    <w:rsid w:val="469F17DE"/>
    <w:rsid w:val="46BB0346"/>
    <w:rsid w:val="470C696F"/>
    <w:rsid w:val="47DF2C94"/>
    <w:rsid w:val="4814508F"/>
    <w:rsid w:val="481F3547"/>
    <w:rsid w:val="48B3025F"/>
    <w:rsid w:val="48CE42B3"/>
    <w:rsid w:val="4A3E0A34"/>
    <w:rsid w:val="4A4E7834"/>
    <w:rsid w:val="4B7D3EE5"/>
    <w:rsid w:val="4CAA4B59"/>
    <w:rsid w:val="4D1133BA"/>
    <w:rsid w:val="4E6330F2"/>
    <w:rsid w:val="4E950991"/>
    <w:rsid w:val="4FF25A48"/>
    <w:rsid w:val="504511CC"/>
    <w:rsid w:val="50774089"/>
    <w:rsid w:val="509119B5"/>
    <w:rsid w:val="510B0583"/>
    <w:rsid w:val="512620C8"/>
    <w:rsid w:val="5135100E"/>
    <w:rsid w:val="52AF49AC"/>
    <w:rsid w:val="53CF37C1"/>
    <w:rsid w:val="54F80356"/>
    <w:rsid w:val="552A5F47"/>
    <w:rsid w:val="55341DBA"/>
    <w:rsid w:val="561D5241"/>
    <w:rsid w:val="56D747E7"/>
    <w:rsid w:val="578E6CB8"/>
    <w:rsid w:val="57A12794"/>
    <w:rsid w:val="57B829C5"/>
    <w:rsid w:val="586F377C"/>
    <w:rsid w:val="589E7BB4"/>
    <w:rsid w:val="58E22EB9"/>
    <w:rsid w:val="58F22FA9"/>
    <w:rsid w:val="5938584F"/>
    <w:rsid w:val="596B7D77"/>
    <w:rsid w:val="5B352969"/>
    <w:rsid w:val="5B8066E9"/>
    <w:rsid w:val="5BD00430"/>
    <w:rsid w:val="5C986CF0"/>
    <w:rsid w:val="5D180023"/>
    <w:rsid w:val="5D2A6426"/>
    <w:rsid w:val="5D3A4639"/>
    <w:rsid w:val="5E0454D3"/>
    <w:rsid w:val="5E6500BE"/>
    <w:rsid w:val="5ED67F5B"/>
    <w:rsid w:val="60225890"/>
    <w:rsid w:val="606015F2"/>
    <w:rsid w:val="60D331AC"/>
    <w:rsid w:val="610377A4"/>
    <w:rsid w:val="612F4811"/>
    <w:rsid w:val="62EA44B2"/>
    <w:rsid w:val="639210A2"/>
    <w:rsid w:val="63D7728A"/>
    <w:rsid w:val="64AD5EA6"/>
    <w:rsid w:val="658F3156"/>
    <w:rsid w:val="65BF2A4C"/>
    <w:rsid w:val="672A36EE"/>
    <w:rsid w:val="677B09A0"/>
    <w:rsid w:val="67B71EC4"/>
    <w:rsid w:val="688E50AB"/>
    <w:rsid w:val="68B75EC5"/>
    <w:rsid w:val="697A2065"/>
    <w:rsid w:val="69AB1ABA"/>
    <w:rsid w:val="6AE73D9F"/>
    <w:rsid w:val="6B1A0E80"/>
    <w:rsid w:val="6B573216"/>
    <w:rsid w:val="6BEE7419"/>
    <w:rsid w:val="6C1E7B0A"/>
    <w:rsid w:val="6C4B7825"/>
    <w:rsid w:val="6CC45C03"/>
    <w:rsid w:val="6CDA6C08"/>
    <w:rsid w:val="6D157881"/>
    <w:rsid w:val="6D684560"/>
    <w:rsid w:val="6F5305B8"/>
    <w:rsid w:val="6F6E4F8F"/>
    <w:rsid w:val="703F356D"/>
    <w:rsid w:val="70507A7F"/>
    <w:rsid w:val="707068B4"/>
    <w:rsid w:val="70722377"/>
    <w:rsid w:val="70D15A5A"/>
    <w:rsid w:val="721C341F"/>
    <w:rsid w:val="728C6B0E"/>
    <w:rsid w:val="72A12E37"/>
    <w:rsid w:val="72B85E8E"/>
    <w:rsid w:val="731352DC"/>
    <w:rsid w:val="73EF1AA1"/>
    <w:rsid w:val="7561375B"/>
    <w:rsid w:val="75F665BF"/>
    <w:rsid w:val="76586318"/>
    <w:rsid w:val="769E3061"/>
    <w:rsid w:val="76A6009F"/>
    <w:rsid w:val="773924CE"/>
    <w:rsid w:val="775810D7"/>
    <w:rsid w:val="77BA2308"/>
    <w:rsid w:val="782822E5"/>
    <w:rsid w:val="78E51211"/>
    <w:rsid w:val="78E628A7"/>
    <w:rsid w:val="791E4B60"/>
    <w:rsid w:val="796F2FFA"/>
    <w:rsid w:val="79EE3685"/>
    <w:rsid w:val="7A090D11"/>
    <w:rsid w:val="7A496D34"/>
    <w:rsid w:val="7AC762E6"/>
    <w:rsid w:val="7AEA3D83"/>
    <w:rsid w:val="7AFF6F9A"/>
    <w:rsid w:val="7BF950A1"/>
    <w:rsid w:val="7C9E75CC"/>
    <w:rsid w:val="7CD14146"/>
    <w:rsid w:val="7CF320B2"/>
    <w:rsid w:val="7EA07862"/>
    <w:rsid w:val="7F492716"/>
    <w:rsid w:val="7F4B2356"/>
    <w:rsid w:val="7F4F49AC"/>
    <w:rsid w:val="7F975680"/>
    <w:rsid w:val="7FAF33C8"/>
    <w:rsid w:val="D73B87F0"/>
    <w:rsid w:val="DFFFD649"/>
    <w:rsid w:val="FBFD54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30"/>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32"/>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2">
    <w:name w:val="heading 3"/>
    <w:basedOn w:val="1"/>
    <w:next w:val="1"/>
    <w:link w:val="31"/>
    <w:unhideWhenUsed/>
    <w:qFormat/>
    <w:uiPriority w:val="0"/>
    <w:pPr>
      <w:keepNext/>
      <w:keepLines/>
      <w:spacing w:before="260" w:after="260" w:line="416" w:lineRule="auto"/>
      <w:outlineLvl w:val="2"/>
    </w:pPr>
    <w:rPr>
      <w:b/>
      <w:bCs/>
      <w:sz w:val="32"/>
      <w:szCs w:val="32"/>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47"/>
    <w:unhideWhenUsed/>
    <w:qFormat/>
    <w:uiPriority w:val="0"/>
    <w:pPr>
      <w:ind w:firstLine="200" w:firstLineChars="200"/>
      <w:jc w:val="left"/>
    </w:pPr>
    <w:rPr>
      <w:rFonts w:ascii="Times New Roman" w:hAnsi="Times New Roman"/>
      <w:szCs w:val="20"/>
    </w:rPr>
  </w:style>
  <w:style w:type="paragraph" w:styleId="6">
    <w:name w:val="Body Text"/>
    <w:basedOn w:val="1"/>
    <w:next w:val="1"/>
    <w:link w:val="33"/>
    <w:qFormat/>
    <w:uiPriority w:val="99"/>
    <w:pPr>
      <w:spacing w:line="360" w:lineRule="auto"/>
    </w:pPr>
    <w:rPr>
      <w:rFonts w:asciiTheme="minorHAnsi" w:hAnsiTheme="minorHAnsi" w:cstheme="minorBidi"/>
      <w:sz w:val="26"/>
      <w:szCs w:val="24"/>
    </w:rPr>
  </w:style>
  <w:style w:type="paragraph" w:styleId="7">
    <w:name w:val="Body Text Indent"/>
    <w:basedOn w:val="1"/>
    <w:qFormat/>
    <w:uiPriority w:val="0"/>
    <w:pPr>
      <w:ind w:firstLine="795"/>
    </w:pPr>
    <w:rPr>
      <w:rFonts w:ascii="Times New Roman" w:hAnsi="Times New Roman"/>
      <w:sz w:val="32"/>
    </w:rPr>
  </w:style>
  <w:style w:type="paragraph" w:styleId="8">
    <w:name w:val="toc 3"/>
    <w:basedOn w:val="1"/>
    <w:next w:val="1"/>
    <w:unhideWhenUsed/>
    <w:qFormat/>
    <w:uiPriority w:val="39"/>
    <w:pPr>
      <w:ind w:left="840" w:leftChars="400"/>
    </w:pPr>
  </w:style>
  <w:style w:type="paragraph" w:styleId="9">
    <w:name w:val="Plain Text"/>
    <w:basedOn w:val="1"/>
    <w:link w:val="39"/>
    <w:qFormat/>
    <w:uiPriority w:val="0"/>
    <w:pPr>
      <w:spacing w:line="360" w:lineRule="auto"/>
    </w:pPr>
    <w:rPr>
      <w:rFonts w:ascii="宋体" w:hAnsi="Courier New" w:cs="仿宋_GB2312"/>
      <w:szCs w:val="21"/>
    </w:rPr>
  </w:style>
  <w:style w:type="paragraph" w:styleId="10">
    <w:name w:val="Balloon Text"/>
    <w:basedOn w:val="1"/>
    <w:link w:val="45"/>
    <w:unhideWhenUsed/>
    <w:qFormat/>
    <w:uiPriority w:val="99"/>
    <w:rPr>
      <w:sz w:val="18"/>
      <w:szCs w:val="18"/>
    </w:rPr>
  </w:style>
  <w:style w:type="paragraph" w:styleId="11">
    <w:name w:val="footer"/>
    <w:basedOn w:val="1"/>
    <w:link w:val="2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2">
    <w:name w:val="header"/>
    <w:basedOn w:val="1"/>
    <w:link w:val="2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3">
    <w:name w:val="toc 1"/>
    <w:basedOn w:val="1"/>
    <w:next w:val="1"/>
    <w:unhideWhenUsed/>
    <w:qFormat/>
    <w:uiPriority w:val="39"/>
  </w:style>
  <w:style w:type="paragraph" w:styleId="14">
    <w:name w:val="Subtitle"/>
    <w:basedOn w:val="1"/>
    <w:link w:val="35"/>
    <w:qFormat/>
    <w:uiPriority w:val="0"/>
    <w:pPr>
      <w:widowControl/>
      <w:jc w:val="center"/>
    </w:pPr>
    <w:rPr>
      <w:rFonts w:asciiTheme="minorHAnsi" w:hAnsiTheme="minorHAnsi" w:eastAsiaTheme="minorEastAsia" w:cstheme="minorBidi"/>
      <w:szCs w:val="24"/>
      <w:u w:val="single"/>
      <w:lang w:eastAsia="en-US"/>
    </w:rPr>
  </w:style>
  <w:style w:type="paragraph" w:styleId="15">
    <w:name w:val="Body Text Indent 3"/>
    <w:basedOn w:val="1"/>
    <w:qFormat/>
    <w:uiPriority w:val="0"/>
    <w:pPr>
      <w:spacing w:line="400" w:lineRule="atLeast"/>
      <w:ind w:firstLine="480" w:firstLineChars="200"/>
    </w:pPr>
    <w:rPr>
      <w:rFonts w:ascii="宋体"/>
      <w:sz w:val="24"/>
      <w:szCs w:val="20"/>
    </w:rPr>
  </w:style>
  <w:style w:type="paragraph" w:styleId="16">
    <w:name w:val="toc 2"/>
    <w:basedOn w:val="1"/>
    <w:next w:val="1"/>
    <w:unhideWhenUsed/>
    <w:qFormat/>
    <w:uiPriority w:val="39"/>
    <w:pPr>
      <w:ind w:left="420" w:leftChars="200"/>
    </w:pPr>
  </w:style>
  <w:style w:type="paragraph" w:styleId="17">
    <w:name w:val="Title"/>
    <w:basedOn w:val="1"/>
    <w:next w:val="1"/>
    <w:qFormat/>
    <w:uiPriority w:val="0"/>
    <w:pPr>
      <w:widowControl/>
      <w:spacing w:after="240" w:line="360" w:lineRule="auto"/>
      <w:jc w:val="center"/>
    </w:pPr>
    <w:rPr>
      <w:rFonts w:ascii="Arial" w:hAnsi="Arial"/>
      <w:b/>
      <w:smallCaps/>
      <w:kern w:val="28"/>
      <w:sz w:val="36"/>
      <w:lang w:eastAsia="en-US"/>
    </w:rPr>
  </w:style>
  <w:style w:type="paragraph" w:styleId="18">
    <w:name w:val="annotation subject"/>
    <w:basedOn w:val="5"/>
    <w:next w:val="5"/>
    <w:link w:val="51"/>
    <w:unhideWhenUsed/>
    <w:qFormat/>
    <w:uiPriority w:val="99"/>
    <w:pPr>
      <w:ind w:firstLine="0" w:firstLineChars="0"/>
    </w:pPr>
    <w:rPr>
      <w:rFonts w:ascii="Calibri" w:hAnsi="Calibri"/>
      <w:b/>
      <w:bCs/>
      <w:szCs w:val="22"/>
    </w:rPr>
  </w:style>
  <w:style w:type="paragraph" w:styleId="19">
    <w:name w:val="Body Text First Indent"/>
    <w:basedOn w:val="6"/>
    <w:link w:val="42"/>
    <w:unhideWhenUsed/>
    <w:qFormat/>
    <w:uiPriority w:val="99"/>
    <w:pPr>
      <w:spacing w:after="120" w:line="240" w:lineRule="auto"/>
      <w:ind w:firstLine="420" w:firstLineChars="100"/>
    </w:pPr>
    <w:rPr>
      <w:rFonts w:ascii="Calibri" w:hAnsi="Calibri" w:cs="Times New Roman"/>
      <w:sz w:val="21"/>
      <w:szCs w:val="22"/>
    </w:rPr>
  </w:style>
  <w:style w:type="table" w:styleId="21">
    <w:name w:val="Table Grid"/>
    <w:basedOn w:val="2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page number"/>
    <w:basedOn w:val="22"/>
    <w:qFormat/>
    <w:uiPriority w:val="0"/>
    <w:rPr>
      <w:rFonts w:ascii="Arial" w:hAnsi="Arial" w:eastAsia="Times New Roman" w:cs="Verdana"/>
      <w:b/>
      <w:kern w:val="0"/>
      <w:sz w:val="24"/>
      <w:lang w:eastAsia="en-US"/>
    </w:rPr>
  </w:style>
  <w:style w:type="character" w:styleId="24">
    <w:name w:val="FollowedHyperlink"/>
    <w:basedOn w:val="22"/>
    <w:semiHidden/>
    <w:unhideWhenUsed/>
    <w:qFormat/>
    <w:uiPriority w:val="99"/>
    <w:rPr>
      <w:color w:val="333333"/>
      <w:u w:val="none"/>
    </w:rPr>
  </w:style>
  <w:style w:type="character" w:styleId="25">
    <w:name w:val="Hyperlink"/>
    <w:basedOn w:val="22"/>
    <w:unhideWhenUsed/>
    <w:qFormat/>
    <w:uiPriority w:val="99"/>
    <w:rPr>
      <w:color w:val="0000FF" w:themeColor="hyperlink"/>
      <w:u w:val="single"/>
      <w14:textFill>
        <w14:solidFill>
          <w14:schemeClr w14:val="hlink"/>
        </w14:solidFill>
      </w14:textFill>
    </w:rPr>
  </w:style>
  <w:style w:type="character" w:styleId="26">
    <w:name w:val="annotation reference"/>
    <w:basedOn w:val="22"/>
    <w:unhideWhenUsed/>
    <w:qFormat/>
    <w:uiPriority w:val="0"/>
    <w:rPr>
      <w:sz w:val="21"/>
      <w:szCs w:val="21"/>
    </w:rPr>
  </w:style>
  <w:style w:type="paragraph" w:customStyle="1" w:styleId="27">
    <w:name w:val="列表段落1"/>
    <w:basedOn w:val="1"/>
    <w:next w:val="1"/>
    <w:qFormat/>
    <w:uiPriority w:val="99"/>
    <w:pPr>
      <w:ind w:firstLine="420" w:firstLineChars="200"/>
    </w:pPr>
  </w:style>
  <w:style w:type="character" w:customStyle="1" w:styleId="28">
    <w:name w:val="页眉 字符"/>
    <w:basedOn w:val="22"/>
    <w:link w:val="12"/>
    <w:qFormat/>
    <w:uiPriority w:val="99"/>
    <w:rPr>
      <w:sz w:val="18"/>
      <w:szCs w:val="18"/>
    </w:rPr>
  </w:style>
  <w:style w:type="character" w:customStyle="1" w:styleId="29">
    <w:name w:val="页脚 字符"/>
    <w:basedOn w:val="22"/>
    <w:link w:val="11"/>
    <w:qFormat/>
    <w:uiPriority w:val="99"/>
    <w:rPr>
      <w:sz w:val="18"/>
      <w:szCs w:val="18"/>
    </w:rPr>
  </w:style>
  <w:style w:type="character" w:customStyle="1" w:styleId="30">
    <w:name w:val="标题 1 字符"/>
    <w:basedOn w:val="22"/>
    <w:link w:val="3"/>
    <w:qFormat/>
    <w:uiPriority w:val="0"/>
    <w:rPr>
      <w:rFonts w:ascii="Calibri" w:hAnsi="Calibri" w:eastAsia="宋体" w:cs="Times New Roman"/>
      <w:b/>
      <w:bCs/>
      <w:kern w:val="44"/>
      <w:sz w:val="44"/>
      <w:szCs w:val="44"/>
    </w:rPr>
  </w:style>
  <w:style w:type="character" w:customStyle="1" w:styleId="31">
    <w:name w:val="标题 3 字符"/>
    <w:basedOn w:val="22"/>
    <w:link w:val="2"/>
    <w:semiHidden/>
    <w:qFormat/>
    <w:uiPriority w:val="9"/>
    <w:rPr>
      <w:rFonts w:ascii="Calibri" w:hAnsi="Calibri" w:eastAsia="宋体" w:cs="Times New Roman"/>
      <w:b/>
      <w:bCs/>
      <w:sz w:val="32"/>
      <w:szCs w:val="32"/>
    </w:rPr>
  </w:style>
  <w:style w:type="character" w:customStyle="1" w:styleId="32">
    <w:name w:val="标题 2 字符"/>
    <w:basedOn w:val="22"/>
    <w:link w:val="4"/>
    <w:semiHidden/>
    <w:qFormat/>
    <w:uiPriority w:val="9"/>
    <w:rPr>
      <w:rFonts w:asciiTheme="majorHAnsi" w:hAnsiTheme="majorHAnsi" w:eastAsiaTheme="majorEastAsia" w:cstheme="majorBidi"/>
      <w:b/>
      <w:bCs/>
      <w:sz w:val="32"/>
      <w:szCs w:val="32"/>
    </w:rPr>
  </w:style>
  <w:style w:type="character" w:customStyle="1" w:styleId="33">
    <w:name w:val="正文文本 字符"/>
    <w:link w:val="6"/>
    <w:qFormat/>
    <w:uiPriority w:val="99"/>
    <w:rPr>
      <w:rFonts w:eastAsia="宋体"/>
      <w:sz w:val="26"/>
      <w:szCs w:val="24"/>
    </w:rPr>
  </w:style>
  <w:style w:type="character" w:customStyle="1" w:styleId="34">
    <w:name w:val="正文文本 Char"/>
    <w:basedOn w:val="22"/>
    <w:semiHidden/>
    <w:qFormat/>
    <w:uiPriority w:val="99"/>
    <w:rPr>
      <w:rFonts w:ascii="Calibri" w:hAnsi="Calibri" w:eastAsia="宋体" w:cs="Times New Roman"/>
    </w:rPr>
  </w:style>
  <w:style w:type="character" w:customStyle="1" w:styleId="35">
    <w:name w:val="副标题 字符"/>
    <w:link w:val="14"/>
    <w:qFormat/>
    <w:uiPriority w:val="0"/>
    <w:rPr>
      <w:szCs w:val="24"/>
      <w:u w:val="single"/>
      <w:lang w:eastAsia="en-US"/>
    </w:rPr>
  </w:style>
  <w:style w:type="character" w:customStyle="1" w:styleId="36">
    <w:name w:val="副标题 Char"/>
    <w:basedOn w:val="22"/>
    <w:qFormat/>
    <w:uiPriority w:val="11"/>
    <w:rPr>
      <w:rFonts w:eastAsia="宋体" w:asciiTheme="majorHAnsi" w:hAnsiTheme="majorHAnsi" w:cstheme="majorBidi"/>
      <w:b/>
      <w:bCs/>
      <w:kern w:val="28"/>
      <w:sz w:val="32"/>
      <w:szCs w:val="32"/>
    </w:rPr>
  </w:style>
  <w:style w:type="character" w:customStyle="1" w:styleId="37">
    <w:name w:val="标题 3 Char1"/>
    <w:qFormat/>
    <w:uiPriority w:val="0"/>
    <w:rPr>
      <w:rFonts w:ascii="仿宋_GB2312" w:eastAsia="仿宋_GB2312" w:cs="MingLiU"/>
      <w:b/>
      <w:sz w:val="24"/>
      <w:szCs w:val="28"/>
      <w:lang w:val="en-US" w:eastAsia="zh-CN" w:bidi="ar-SA"/>
    </w:rPr>
  </w:style>
  <w:style w:type="paragraph" w:customStyle="1" w:styleId="38">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39">
    <w:name w:val="纯文本 字符"/>
    <w:link w:val="9"/>
    <w:qFormat/>
    <w:uiPriority w:val="0"/>
    <w:rPr>
      <w:rFonts w:ascii="宋体" w:hAnsi="Courier New" w:eastAsia="宋体" w:cs="仿宋_GB2312"/>
      <w:szCs w:val="21"/>
    </w:rPr>
  </w:style>
  <w:style w:type="character" w:customStyle="1" w:styleId="40">
    <w:name w:val="纯文本 Char"/>
    <w:basedOn w:val="22"/>
    <w:semiHidden/>
    <w:qFormat/>
    <w:uiPriority w:val="99"/>
    <w:rPr>
      <w:rFonts w:ascii="宋体" w:hAnsi="Courier New" w:eastAsia="宋体" w:cs="Courier New"/>
      <w:szCs w:val="21"/>
    </w:rPr>
  </w:style>
  <w:style w:type="paragraph" w:customStyle="1" w:styleId="41">
    <w:name w:val="样式 正文首行缩进 + 首行缩进:  2 字符1 Char Char"/>
    <w:basedOn w:val="19"/>
    <w:qFormat/>
    <w:uiPriority w:val="0"/>
    <w:pPr>
      <w:adjustRightInd w:val="0"/>
      <w:spacing w:after="0" w:line="400" w:lineRule="exact"/>
      <w:ind w:firstLine="480" w:firstLineChars="200"/>
      <w:textAlignment w:val="baseline"/>
    </w:pPr>
    <w:rPr>
      <w:rFonts w:ascii="Times New Roman" w:hAnsi="Times New Roman" w:eastAsia="仿宋_GB2312" w:cs="宋体"/>
      <w:sz w:val="24"/>
      <w:szCs w:val="20"/>
    </w:rPr>
  </w:style>
  <w:style w:type="character" w:customStyle="1" w:styleId="42">
    <w:name w:val="正文文本首行缩进 字符"/>
    <w:basedOn w:val="33"/>
    <w:link w:val="19"/>
    <w:semiHidden/>
    <w:qFormat/>
    <w:uiPriority w:val="99"/>
    <w:rPr>
      <w:rFonts w:ascii="Calibri" w:hAnsi="Calibri" w:eastAsia="宋体" w:cs="Times New Roman"/>
      <w:sz w:val="26"/>
      <w:szCs w:val="24"/>
    </w:rPr>
  </w:style>
  <w:style w:type="character" w:customStyle="1" w:styleId="43">
    <w:name w:val="+正文 Char7"/>
    <w:link w:val="44"/>
    <w:qFormat/>
    <w:uiPriority w:val="0"/>
    <w:rPr>
      <w:rFonts w:eastAsia="宋体"/>
      <w:sz w:val="24"/>
      <w:szCs w:val="28"/>
    </w:rPr>
  </w:style>
  <w:style w:type="paragraph" w:customStyle="1" w:styleId="44">
    <w:name w:val="+正文"/>
    <w:basedOn w:val="1"/>
    <w:link w:val="43"/>
    <w:qFormat/>
    <w:uiPriority w:val="0"/>
    <w:pPr>
      <w:spacing w:line="360" w:lineRule="auto"/>
      <w:ind w:firstLine="200" w:firstLineChars="200"/>
    </w:pPr>
    <w:rPr>
      <w:rFonts w:asciiTheme="minorHAnsi" w:hAnsiTheme="minorHAnsi" w:cstheme="minorBidi"/>
      <w:sz w:val="24"/>
      <w:szCs w:val="28"/>
    </w:rPr>
  </w:style>
  <w:style w:type="character" w:customStyle="1" w:styleId="45">
    <w:name w:val="批注框文本 字符"/>
    <w:basedOn w:val="22"/>
    <w:link w:val="10"/>
    <w:semiHidden/>
    <w:qFormat/>
    <w:uiPriority w:val="99"/>
    <w:rPr>
      <w:rFonts w:ascii="Calibri" w:hAnsi="Calibri" w:eastAsia="宋体" w:cs="Times New Roman"/>
      <w:sz w:val="18"/>
      <w:szCs w:val="18"/>
    </w:rPr>
  </w:style>
  <w:style w:type="character" w:customStyle="1" w:styleId="46">
    <w:name w:val="批注文字 Char"/>
    <w:basedOn w:val="22"/>
    <w:qFormat/>
    <w:uiPriority w:val="0"/>
    <w:rPr>
      <w:kern w:val="2"/>
      <w:sz w:val="21"/>
      <w:szCs w:val="22"/>
    </w:rPr>
  </w:style>
  <w:style w:type="character" w:customStyle="1" w:styleId="47">
    <w:name w:val="批注文字 字符"/>
    <w:basedOn w:val="22"/>
    <w:link w:val="5"/>
    <w:qFormat/>
    <w:uiPriority w:val="0"/>
    <w:rPr>
      <w:rFonts w:ascii="Times New Roman" w:hAnsi="Times New Roman"/>
      <w:kern w:val="2"/>
      <w:sz w:val="21"/>
    </w:rPr>
  </w:style>
  <w:style w:type="paragraph" w:customStyle="1" w:styleId="48">
    <w:name w:val="修订1"/>
    <w:hidden/>
    <w:semiHidden/>
    <w:qFormat/>
    <w:uiPriority w:val="99"/>
    <w:rPr>
      <w:rFonts w:ascii="Calibri" w:hAnsi="Calibri" w:eastAsia="宋体" w:cs="Times New Roman"/>
      <w:kern w:val="2"/>
      <w:sz w:val="21"/>
      <w:szCs w:val="22"/>
      <w:lang w:val="en-US" w:eastAsia="zh-CN" w:bidi="ar-SA"/>
    </w:rPr>
  </w:style>
  <w:style w:type="table" w:customStyle="1" w:styleId="49">
    <w:name w:val="网格型1"/>
    <w:basedOn w:val="2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0">
    <w:name w:val="修订2"/>
    <w:hidden/>
    <w:semiHidden/>
    <w:qFormat/>
    <w:uiPriority w:val="99"/>
    <w:rPr>
      <w:rFonts w:ascii="Calibri" w:hAnsi="Calibri" w:eastAsia="宋体" w:cs="Times New Roman"/>
      <w:kern w:val="2"/>
      <w:sz w:val="21"/>
      <w:szCs w:val="22"/>
      <w:lang w:val="en-US" w:eastAsia="zh-CN" w:bidi="ar-SA"/>
    </w:rPr>
  </w:style>
  <w:style w:type="character" w:customStyle="1" w:styleId="51">
    <w:name w:val="批注主题 字符"/>
    <w:basedOn w:val="47"/>
    <w:link w:val="18"/>
    <w:semiHidden/>
    <w:qFormat/>
    <w:uiPriority w:val="99"/>
    <w:rPr>
      <w:rFonts w:ascii="Calibri" w:hAnsi="Calibri" w:eastAsia="宋体" w:cs="Times New Roman"/>
      <w:b/>
      <w:bCs/>
      <w:kern w:val="2"/>
      <w:sz w:val="21"/>
      <w:szCs w:val="22"/>
    </w:rPr>
  </w:style>
  <w:style w:type="paragraph" w:customStyle="1" w:styleId="52">
    <w:name w:val="修订3"/>
    <w:hidden/>
    <w:semiHidden/>
    <w:qFormat/>
    <w:uiPriority w:val="99"/>
    <w:rPr>
      <w:rFonts w:ascii="Calibri" w:hAnsi="Calibri" w:eastAsia="宋体" w:cs="Times New Roman"/>
      <w:kern w:val="2"/>
      <w:sz w:val="21"/>
      <w:szCs w:val="22"/>
      <w:lang w:val="en-US" w:eastAsia="zh-CN" w:bidi="ar-SA"/>
    </w:rPr>
  </w:style>
  <w:style w:type="character" w:customStyle="1" w:styleId="53">
    <w:name w:val="未处理的提及1"/>
    <w:basedOn w:val="22"/>
    <w:semiHidden/>
    <w:unhideWhenUsed/>
    <w:qFormat/>
    <w:uiPriority w:val="99"/>
    <w:rPr>
      <w:color w:val="605E5C"/>
      <w:shd w:val="clear" w:color="auto" w:fill="E1DFDD"/>
    </w:rPr>
  </w:style>
  <w:style w:type="paragraph" w:customStyle="1" w:styleId="54">
    <w:name w:val="修订4"/>
    <w:hidden/>
    <w:semiHidden/>
    <w:qFormat/>
    <w:uiPriority w:val="99"/>
    <w:rPr>
      <w:rFonts w:ascii="Calibri" w:hAnsi="Calibri" w:eastAsia="宋体" w:cs="Times New Roman"/>
      <w:kern w:val="2"/>
      <w:sz w:val="21"/>
      <w:szCs w:val="22"/>
      <w:lang w:val="en-US" w:eastAsia="zh-CN" w:bidi="ar-SA"/>
    </w:rPr>
  </w:style>
  <w:style w:type="paragraph" w:customStyle="1" w:styleId="55">
    <w:name w:val="修订5"/>
    <w:hidden/>
    <w:semiHidden/>
    <w:qFormat/>
    <w:uiPriority w:val="99"/>
    <w:rPr>
      <w:rFonts w:ascii="Calibri" w:hAnsi="Calibri" w:eastAsia="宋体" w:cs="Times New Roman"/>
      <w:kern w:val="2"/>
      <w:sz w:val="21"/>
      <w:szCs w:val="22"/>
      <w:lang w:val="en-US" w:eastAsia="zh-CN" w:bidi="ar-SA"/>
    </w:rPr>
  </w:style>
  <w:style w:type="paragraph" w:styleId="56">
    <w:name w:val="List Paragraph"/>
    <w:basedOn w:val="1"/>
    <w:qFormat/>
    <w:uiPriority w:val="99"/>
    <w:pPr>
      <w:ind w:firstLine="420" w:firstLineChars="200"/>
    </w:pPr>
  </w:style>
  <w:style w:type="paragraph" w:customStyle="1" w:styleId="57">
    <w:name w:val="修订6"/>
    <w:hidden/>
    <w:semiHidden/>
    <w:qFormat/>
    <w:uiPriority w:val="99"/>
    <w:rPr>
      <w:rFonts w:ascii="Calibri" w:hAnsi="Calibri" w:eastAsia="宋体" w:cs="Times New Roman"/>
      <w:kern w:val="2"/>
      <w:sz w:val="21"/>
      <w:szCs w:val="22"/>
      <w:lang w:val="en-US" w:eastAsia="zh-CN" w:bidi="ar-SA"/>
    </w:rPr>
  </w:style>
  <w:style w:type="paragraph" w:customStyle="1" w:styleId="58">
    <w:name w:val="正文 A"/>
    <w:qFormat/>
    <w:uiPriority w:val="0"/>
    <w:pPr>
      <w:widowControl w:val="0"/>
      <w:jc w:val="both"/>
    </w:pPr>
    <w:rPr>
      <w:rFonts w:ascii="Arial Unicode MS" w:hAnsi="Arial Unicode MS" w:eastAsia="Arial Unicode MS" w:cs="Arial Unicode MS"/>
      <w:color w:val="000000"/>
      <w:kern w:val="2"/>
      <w:sz w:val="21"/>
      <w:szCs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28</Pages>
  <Words>2134</Words>
  <Characters>12167</Characters>
  <Lines>101</Lines>
  <Paragraphs>28</Paragraphs>
  <TotalTime>31</TotalTime>
  <ScaleCrop>false</ScaleCrop>
  <LinksUpToDate>false</LinksUpToDate>
  <CharactersWithSpaces>14273</CharactersWithSpaces>
  <Application>WPS Office_11.8.2.11978_F1E327BC-269C-435d-A152-05C5408002CA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2021-12-28T08:49:00Z</dcterms:created>
  <dc:creator>admin</dc:creator>
  <cp:lastModifiedBy>T@琳</cp:lastModifiedBy>
  <cp:lastPrinted>2019-08-13T00:28:00Z</cp:lastPrinted>
  <dcterms:modified xsi:type="dcterms:W3CDTF">2024-01-23T03:48:29Z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2052-11.8.2.11978</vt:lpwstr>
  </property>
  <property fmtid="{D5CDD505-2E9C-101B-9397-08002B2CF9AE}" pid="3" name="KSOSaveFontToCloudKey">
    <vt:lpwstr>716721606_btnclosed</vt:lpwstr>
  </property>
  <property fmtid="{D5CDD505-2E9C-101B-9397-08002B2CF9AE}" pid="4" name="ICV">
    <vt:lpwstr>08A3BD9C4E0548C3904C8A4CB55C4846</vt:lpwstr>
  </property>
</Properties>
</file>