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cs="宋体"/>
          <w:snapToGrid w:val="0"/>
          <w:kern w:val="0"/>
          <w:sz w:val="28"/>
          <w:szCs w:val="28"/>
        </w:rPr>
      </w:pPr>
      <w:bookmarkStart w:id="0" w:name="OLE_LINK3"/>
      <w:r>
        <w:rPr>
          <w:rFonts w:hint="eastAsia" w:ascii="宋体" w:hAnsi="宋体" w:cs="宋体"/>
          <w:snapToGrid w:val="0"/>
          <w:kern w:val="0"/>
          <w:sz w:val="28"/>
          <w:szCs w:val="28"/>
          <w:lang w:eastAsia="zh-CN"/>
        </w:rPr>
        <w:t>信息化安全运维服</w:t>
      </w:r>
      <w:bookmarkStart w:id="98" w:name="_GoBack"/>
      <w:bookmarkEnd w:id="98"/>
      <w:r>
        <w:rPr>
          <w:rFonts w:hint="eastAsia" w:ascii="宋体" w:hAnsi="宋体" w:cs="宋体"/>
          <w:snapToGrid w:val="0"/>
          <w:kern w:val="0"/>
          <w:sz w:val="28"/>
          <w:szCs w:val="28"/>
          <w:lang w:eastAsia="zh-CN"/>
        </w:rPr>
        <w:t>务</w:t>
      </w:r>
      <w:r>
        <w:rPr>
          <w:rFonts w:hint="eastAsia" w:ascii="宋体" w:hAnsi="宋体" w:cs="宋体"/>
          <w:snapToGrid w:val="0"/>
          <w:kern w:val="0"/>
          <w:sz w:val="28"/>
          <w:szCs w:val="28"/>
        </w:rPr>
        <w:t>项目</w:t>
      </w:r>
      <w:r>
        <w:rPr>
          <w:rFonts w:hint="eastAsia" w:ascii="宋体" w:hAnsi="宋体" w:cs="宋体"/>
          <w:snapToGrid w:val="0"/>
          <w:w w:val="99"/>
          <w:kern w:val="0"/>
          <w:sz w:val="28"/>
          <w:szCs w:val="28"/>
        </w:rPr>
        <w:t>比选公告</w:t>
      </w:r>
    </w:p>
    <w:p>
      <w:pPr>
        <w:pStyle w:val="3"/>
        <w:adjustRightInd w:val="0"/>
        <w:snapToGrid w:val="0"/>
        <w:spacing w:before="0" w:after="0" w:line="360" w:lineRule="auto"/>
        <w:rPr>
          <w:rFonts w:ascii="宋体" w:hAnsi="宋体" w:cs="宋体"/>
          <w:snapToGrid w:val="0"/>
          <w:sz w:val="28"/>
          <w:szCs w:val="28"/>
        </w:rPr>
      </w:pPr>
      <w:bookmarkStart w:id="1" w:name="_Toc509218692"/>
      <w:bookmarkStart w:id="2" w:name="_Toc6517"/>
      <w:bookmarkStart w:id="3" w:name="_Toc7424"/>
      <w:bookmarkStart w:id="4" w:name="_Toc224103299"/>
      <w:bookmarkStart w:id="5" w:name="_Toc287620667"/>
      <w:bookmarkStart w:id="6" w:name="_Toc430530416"/>
      <w:bookmarkStart w:id="7" w:name="_Toc5267"/>
      <w:bookmarkStart w:id="8" w:name="_Toc277082536"/>
      <w:bookmarkStart w:id="9" w:name="_Toc200359427"/>
      <w:bookmarkStart w:id="10" w:name="_Toc287607728"/>
      <w:bookmarkStart w:id="11" w:name="_Toc4213"/>
      <w:bookmarkStart w:id="12" w:name="_Toc200359238"/>
      <w:bookmarkStart w:id="13" w:name="_Toc25249"/>
      <w:bookmarkStart w:id="14" w:name="_Toc14406"/>
      <w:r>
        <w:rPr>
          <w:rFonts w:ascii="宋体" w:hAnsi="宋体" w:cs="宋体"/>
          <w:snapToGrid w:val="0"/>
          <w:sz w:val="28"/>
          <w:szCs w:val="28"/>
        </w:rPr>
        <w:t xml:space="preserve">1.  </w:t>
      </w:r>
      <w:r>
        <w:rPr>
          <w:rFonts w:hint="eastAsia" w:ascii="宋体" w:hAnsi="宋体" w:cs="宋体"/>
          <w:snapToGrid w:val="0"/>
          <w:sz w:val="28"/>
          <w:szCs w:val="28"/>
        </w:rPr>
        <w:t>比选条件</w:t>
      </w:r>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4"/>
        <w:adjustRightInd w:val="0"/>
        <w:snapToGrid w:val="0"/>
        <w:spacing w:after="0" w:line="360" w:lineRule="auto"/>
        <w:ind w:firstLine="420" w:firstLineChars="200"/>
        <w:rPr>
          <w:rFonts w:ascii="宋体" w:hAnsi="宋体" w:cs="宋体"/>
        </w:rPr>
      </w:pPr>
      <w:bookmarkStart w:id="15" w:name="_Toc221949923"/>
      <w:r>
        <w:rPr>
          <w:rFonts w:hint="eastAsia" w:ascii="宋体" w:hAnsi="宋体" w:cs="宋体"/>
          <w:szCs w:val="21"/>
        </w:rPr>
        <w:t>本项目</w:t>
      </w:r>
      <w:r>
        <w:rPr>
          <w:rFonts w:hint="eastAsia" w:ascii="宋体" w:hAnsi="宋体" w:cs="宋体"/>
          <w:szCs w:val="21"/>
          <w:u w:val="single"/>
          <w:lang w:eastAsia="zh-CN"/>
        </w:rPr>
        <w:t>信息化安全运维服务</w:t>
      </w:r>
      <w:r>
        <w:rPr>
          <w:rFonts w:hint="eastAsia" w:ascii="宋体" w:hAnsi="宋体" w:cs="宋体"/>
          <w:szCs w:val="21"/>
          <w:u w:val="single"/>
        </w:rPr>
        <w:t>项目</w:t>
      </w:r>
      <w:r>
        <w:rPr>
          <w:rFonts w:hint="eastAsia" w:ascii="宋体" w:hAnsi="宋体" w:cs="宋体"/>
          <w:szCs w:val="21"/>
        </w:rPr>
        <w:t>，比选人为</w:t>
      </w:r>
      <w:r>
        <w:rPr>
          <w:rFonts w:hint="eastAsia" w:ascii="宋体" w:hAnsi="宋体" w:cs="宋体"/>
          <w:szCs w:val="21"/>
          <w:u w:val="single"/>
        </w:rPr>
        <w:t>重庆市储备粮管理有限公司</w:t>
      </w:r>
      <w:r>
        <w:rPr>
          <w:rFonts w:hint="eastAsia" w:ascii="宋体" w:hAnsi="宋体" w:cs="宋体"/>
          <w:szCs w:val="21"/>
        </w:rPr>
        <w:t>，资金来源为自筹资金，采购资金已落实，项目已具备比选条件。现对该项目进行公开比选。</w:t>
      </w:r>
      <w:bookmarkEnd w:id="15"/>
    </w:p>
    <w:p>
      <w:pPr>
        <w:pStyle w:val="3"/>
        <w:adjustRightInd w:val="0"/>
        <w:snapToGrid w:val="0"/>
        <w:spacing w:before="0" w:after="0" w:line="360" w:lineRule="auto"/>
        <w:rPr>
          <w:rFonts w:ascii="宋体" w:hAnsi="宋体" w:cs="宋体"/>
          <w:snapToGrid w:val="0"/>
          <w:sz w:val="28"/>
          <w:szCs w:val="28"/>
        </w:rPr>
      </w:pPr>
      <w:bookmarkStart w:id="16" w:name="_Toc509218693"/>
      <w:bookmarkStart w:id="17" w:name="_Toc1608"/>
      <w:bookmarkStart w:id="18" w:name="_Toc6760"/>
      <w:bookmarkStart w:id="19" w:name="_Toc430530417"/>
      <w:bookmarkStart w:id="20" w:name="_Toc277082537"/>
      <w:bookmarkStart w:id="21" w:name="_Toc200359428"/>
      <w:bookmarkStart w:id="22" w:name="_Toc200359239"/>
      <w:bookmarkStart w:id="23" w:name="_Toc31710"/>
      <w:bookmarkStart w:id="24" w:name="_Toc27107"/>
      <w:bookmarkStart w:id="25" w:name="_Toc28477"/>
      <w:bookmarkStart w:id="26" w:name="_Toc287620668"/>
      <w:bookmarkStart w:id="27" w:name="_Toc14586"/>
      <w:bookmarkStart w:id="28" w:name="_Toc224103300"/>
      <w:bookmarkStart w:id="29" w:name="_Toc287607729"/>
      <w:r>
        <w:rPr>
          <w:rFonts w:ascii="宋体" w:hAnsi="宋体" w:cs="宋体"/>
          <w:snapToGrid w:val="0"/>
          <w:sz w:val="28"/>
          <w:szCs w:val="28"/>
        </w:rPr>
        <w:t xml:space="preserve">2.  </w:t>
      </w:r>
      <w:r>
        <w:rPr>
          <w:rFonts w:hint="eastAsia" w:ascii="宋体" w:hAnsi="宋体" w:cs="宋体"/>
          <w:snapToGrid w:val="0"/>
          <w:sz w:val="28"/>
          <w:szCs w:val="28"/>
        </w:rPr>
        <w:t>比选范围</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ascii="宋体" w:hAnsi="宋体" w:cs="宋体"/>
          <w:szCs w:val="21"/>
        </w:rPr>
      </w:pPr>
      <w:bookmarkStart w:id="30" w:name="_Toc287620669"/>
      <w:bookmarkStart w:id="31" w:name="_Toc200359429"/>
      <w:bookmarkStart w:id="32" w:name="_Toc224103301"/>
      <w:bookmarkStart w:id="33" w:name="_Toc200359240"/>
      <w:bookmarkStart w:id="34" w:name="_Toc287607730"/>
      <w:bookmarkStart w:id="35" w:name="_Toc430530418"/>
      <w:bookmarkStart w:id="36" w:name="_Toc509218694"/>
      <w:bookmarkStart w:id="37" w:name="_Toc277082538"/>
      <w:r>
        <w:rPr>
          <w:rFonts w:hint="eastAsia" w:ascii="宋体" w:hAnsi="宋体" w:cs="宋体"/>
          <w:szCs w:val="21"/>
        </w:rPr>
        <w:t>2.1本次比选内容包括：信息化安全运维服务包括三部分，网络安全运维服务、机房动力环境监控与运维系统和23栋大楼弱电系统改造。</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（一）网络安全运维服务</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一是故障处理服务。对网络安全设备及影响核心业务可用性网络问题进行故障处理，提供7*24小时技术支持，接申报故障的通知（信件、电报、传真、电话等）后，在30分钟作出反馈，2小时内指定技术人员到达现场处理故障；一般故障在4小时内解决，若设备故障严重则立即告知用户并与商议事后具体维修事宜。</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二是安全设备管理服务，网络设备巡检。每个月对项目范围内的所有在运行安全系统及关键网络设备进行巡检，对设备的物理运行情况、清洁情况、系统运行情况、系统资源利用情况、系统运行日志、相应功能是否正常运行等进行检查并记录，排除可能存在的安全问题和隐患。输出《安全巡检月报》；每个月定期对网络安全及关键网络设备配置、日志进行备份。</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三是信息安全隐患梳理及整改，市公司大楼及私有云的安全巡检、整改和复查。信息安全隐患梳理及整改。梳理信息安全检查结果，整理成安全《隐患整改进度表》。表需包含：时间、漏洞类型、危害级别、详细地址、修复情况等。将安全隐患按照信息系统、责任厂商、危害级别等方式进行分类整理；按照信息系统、责任厂商分类对安全隐患进行下发确认，确认各开发单位隐患整改进度。提供在线技术支持，对责任厂商隐患修复过程中的技术问题进行指导培训；定期开展复查工作，对各安全隐患修复情况进行回归测试，更新《隐患整改进度表》；每月召开安全月度会议，对隐患综合情况进行通报并确认下一步工作。每年开展一次针对下属子公司和部分粮库网络安全现场巡检，检查标准参照等级保护相关条款进行，并出具相关整改意见报告。</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四是安全事件分析，每月输出安全事件分析月报。安全事件分析。每个月通过对项目范围内所有安全系统（WAF、防火墙、入侵检测等）及设备的报警日志进行分析，梳理客户近一月的信息安全情势、安全状况，提出改进建议，输出《安全事件分析月报》。</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五是应急预案与攻防演练。完善信息系统的安全应急预案。每年开展2次开展应急演练，包括搭建模拟的系统环境，模拟黑客对重要系统进行各类常见攻击。制定应急演练相关文档记录。</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六是安全监控服务。365天7x24小时，每隔30分钟一次对门户网站页面进行持续监控；有效反馈被监控系统的安全状态，及时发现系统被篡改、被植入恶意代码等、网络故障、服务宕机等安全事件；通过电话实时进行安全事件告警。</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七是重大活动保障，技术支持服务。重要活动或节假日期间，根据公司需要，提供驻场保障服务。在国家重大活动前提供网络安全检查工作，保障活动期间提供网络安全监测与保障服务，保障活动后提供活动保障总结，含国家重大活动期间工作时间内8小时驻场支持服务。</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八是新业务上线前基线检查服务。提供业务系统基线检查服务，针对不同业务系统特点，提出对新业务上线的基础安全基线要求，进行上线前的安全核查工作。</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九是安全咨询服务。提供信息安全规划、方针、策略和管理制度体系咨询服务，配合为被测信息系统安全整改和加固提供咨询和技术服务。对现有系统、网络安全问题、代码安全规范、服务器安全配置规范、各类技术架构安全性对比及常见安全问题的咨询建议，云环境的安全管理建议。</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十是市公司安全保障。对市储备粮公司中心机房内的服务器、存储、交换机、UPS、视频等设备及系统进行运维保障服务（不含硬件报修及更换），对办公区域的网线、电话线、楼层交换机、机房内的网线、网络交换设备进行基础运维（不含硬件报修及更换）。</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十一是市公司办公区基础运维、桌面及会议技术支持，全年工作日提供2人驻场服务。</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十二是渗透测试服务，对系统开展抵抗入侵攻击能力测试。对指定的信息系统进行抵抗入侵攻击能力测试，并输出《渗透报告》。</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十三是应急响应及处置服务。服务期内提供7*24小时、不限次数的网络安全应急响应服务，在遭受网络病毒/木马、黑客入侵、DOS攻击以及发生其他网络安全事件时，派出安全专家团队进行现场排查处理安全事件，保障业务系统的连续性，阻止和减小安全事件带来的负面影响。应急响应服务工作完成后，针对此次事件的问题现象、发生原因以及处理过程，预防措施与建议进行总结报告。</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十四是安全漏洞扫描服务。服务期内对指定信息系统及关联主机系统进行安全漏洞扫描服务，包括硬件设备漏洞修复、配合业务系统厂家漏洞修复。</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十五是合规性协查服务，组织开展网络安全检查期间的自查、差距分析、整改及陪同检查服务。在接受网络安全主管部门检查或上级部门开展网络安全检查期间的自查、差距分析、整改及陪同检查、相关工作配合服务。</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十六是基线核查服务。对网络设备、安全设备、服务器主机、操作系统、数据库、中间件、进行增量基线配置核查，即是否满足最小化服务原则进行配置。</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十七是数据安全服务，数据备份、数据技术管理等。</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（二）机房动力环境监控与运维系统。</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购买机房环境监控设备，覆盖2个相邻的机房，单个机房面积约30平方米。提供机房的动力、环境、安防、IT设备的集中监控管理，保障机房安全。设备实现机房环境数据的采集、报警及数据上传，数据处理、存储和报警，支持权限统一设置、联动操作等功能。设备前端采集配置配电监测模块、UPS监测模块、空调监测模块、漏水监测模块、温湿度监测模块、消防烟雾报警监测模块、视频监测模块等；系统告警，通过短信、邮件、微信公众号、声光电等方式向管理人员自动发出警告，便于及时故障处置。。</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（三）办公大楼弱电系统改造。</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宋体" w:hAnsi="宋体" w:cs="宋体"/>
          <w:szCs w:val="21"/>
        </w:rPr>
      </w:pPr>
      <w:r>
        <w:rPr>
          <w:rFonts w:hint="eastAsia" w:ascii="宋体" w:hAnsi="宋体" w:cs="宋体"/>
          <w:szCs w:val="21"/>
        </w:rPr>
        <w:t>对办公大楼开展弱电系统梳理，确保线路布局清晰合理，包括网线、电话线、监控线路梳理。将梳理后的线路接入配线架及机柜，对所有线路进行明确的标签标识。通过光缆对现在网络线路进行替代，实现主线路和备用线路的配置。</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ascii="宋体" w:hAnsi="宋体" w:cs="宋体"/>
          <w:szCs w:val="21"/>
        </w:rPr>
      </w:pPr>
      <w:r>
        <w:rPr>
          <w:rFonts w:hint="eastAsia" w:ascii="宋体" w:hAnsi="宋体" w:cs="宋体"/>
          <w:szCs w:val="21"/>
        </w:rPr>
        <w:t>主要包括室内多模光缆、光纤配线架、光纤跳线、网线、电话线等材料；敷设光缆、设备安装调试、弱电井及机房线路整理等人工服务。</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ascii="宋体" w:hAnsi="宋体" w:cs="宋体"/>
          <w:szCs w:val="21"/>
        </w:rPr>
      </w:pPr>
      <w:r>
        <w:rPr>
          <w:rFonts w:hint="eastAsia" w:ascii="宋体" w:hAnsi="宋体" w:cs="宋体"/>
          <w:szCs w:val="21"/>
        </w:rPr>
        <w:t xml:space="preserve">2.2. </w:t>
      </w:r>
      <w:r>
        <w:rPr>
          <w:rFonts w:hint="eastAsia" w:ascii="宋体" w:hAnsi="宋体" w:cs="宋体"/>
          <w:szCs w:val="21"/>
          <w:lang w:val="en-US" w:eastAsia="zh-CN"/>
        </w:rPr>
        <w:t>服务</w:t>
      </w:r>
      <w:r>
        <w:rPr>
          <w:rFonts w:hint="eastAsia" w:ascii="宋体" w:hAnsi="宋体" w:cs="宋体"/>
          <w:szCs w:val="21"/>
        </w:rPr>
        <w:t>期：</w:t>
      </w:r>
      <w:r>
        <w:rPr>
          <w:rFonts w:hint="eastAsia" w:ascii="宋体" w:hAnsi="宋体" w:cs="宋体"/>
          <w:szCs w:val="21"/>
          <w:lang w:val="en-US" w:eastAsia="zh-CN"/>
        </w:rPr>
        <w:t>1年</w:t>
      </w:r>
      <w:r>
        <w:rPr>
          <w:rFonts w:hint="eastAsia" w:ascii="宋体" w:hAnsi="宋体" w:cs="宋体"/>
          <w:szCs w:val="21"/>
        </w:rPr>
        <w:t>。</w:t>
      </w:r>
    </w:p>
    <w:p>
      <w:pPr>
        <w:pStyle w:val="4"/>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ascii="宋体" w:hAnsi="宋体" w:cs="宋体"/>
          <w:szCs w:val="21"/>
        </w:rPr>
      </w:pPr>
      <w:r>
        <w:rPr>
          <w:rFonts w:hint="eastAsia" w:ascii="宋体" w:hAnsi="宋体" w:cs="宋体"/>
          <w:szCs w:val="21"/>
        </w:rPr>
        <w:t xml:space="preserve">2.3. </w:t>
      </w:r>
      <w:r>
        <w:rPr>
          <w:rFonts w:hint="eastAsia" w:ascii="宋体" w:hAnsi="宋体" w:cs="宋体"/>
          <w:szCs w:val="21"/>
          <w:lang w:val="en-US" w:eastAsia="zh-CN"/>
        </w:rPr>
        <w:t>服务</w:t>
      </w:r>
      <w:r>
        <w:rPr>
          <w:rFonts w:hint="eastAsia" w:ascii="宋体" w:hAnsi="宋体" w:cs="宋体"/>
          <w:szCs w:val="21"/>
        </w:rPr>
        <w:t>地点：比选人指定。</w:t>
      </w:r>
    </w:p>
    <w:p>
      <w:pPr>
        <w:pStyle w:val="3"/>
        <w:adjustRightInd w:val="0"/>
        <w:snapToGrid w:val="0"/>
        <w:spacing w:before="0" w:after="0" w:line="360" w:lineRule="auto"/>
        <w:rPr>
          <w:rFonts w:ascii="宋体" w:hAnsi="宋体" w:cs="宋体"/>
          <w:snapToGrid w:val="0"/>
          <w:sz w:val="28"/>
          <w:szCs w:val="28"/>
        </w:rPr>
      </w:pPr>
      <w:bookmarkStart w:id="38" w:name="_Toc26034"/>
      <w:bookmarkStart w:id="39" w:name="_Toc30947"/>
      <w:bookmarkStart w:id="40" w:name="_Toc23047"/>
      <w:bookmarkStart w:id="41" w:name="_Toc19945"/>
      <w:bookmarkStart w:id="42" w:name="_Toc23423"/>
      <w:bookmarkStart w:id="43" w:name="_Toc937"/>
      <w:r>
        <w:rPr>
          <w:rFonts w:ascii="宋体" w:hAnsi="宋体" w:cs="宋体"/>
          <w:snapToGrid w:val="0"/>
          <w:sz w:val="28"/>
          <w:szCs w:val="28"/>
        </w:rPr>
        <w:t xml:space="preserve">3.  </w:t>
      </w:r>
      <w:r>
        <w:rPr>
          <w:rFonts w:hint="eastAsia" w:ascii="宋体" w:hAnsi="宋体" w:cs="宋体"/>
          <w:snapToGrid w:val="0"/>
          <w:sz w:val="28"/>
          <w:szCs w:val="28"/>
        </w:rPr>
        <w:t>竞选人资格要求</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ascii="宋体" w:hAnsi="宋体" w:cs="宋体"/>
          <w:snapToGrid w:val="0"/>
          <w:kern w:val="0"/>
          <w:szCs w:val="21"/>
        </w:rPr>
        <w:t xml:space="preserve">3.1  </w:t>
      </w:r>
      <w:r>
        <w:rPr>
          <w:rFonts w:hint="eastAsia" w:ascii="宋体" w:hAnsi="宋体" w:cs="宋体"/>
          <w:snapToGrid w:val="0"/>
          <w:kern w:val="0"/>
          <w:szCs w:val="21"/>
        </w:rPr>
        <w:t>本次比选实行资格后审，竞选人应具备以下资格条件：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3.1.1</w:t>
      </w:r>
      <w:r>
        <w:rPr>
          <w:rFonts w:ascii="宋体" w:hAnsi="宋体" w:cs="宋体"/>
          <w:szCs w:val="21"/>
        </w:rPr>
        <w:t xml:space="preserve"> </w:t>
      </w:r>
      <w:r>
        <w:rPr>
          <w:rFonts w:hint="eastAsia" w:ascii="宋体" w:hAnsi="宋体" w:cs="宋体"/>
          <w:szCs w:val="21"/>
        </w:rPr>
        <w:t>竞选人具有有效的营业执照。</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 xml:space="preserve">2 </w:t>
      </w:r>
      <w:r>
        <w:rPr>
          <w:rFonts w:hint="eastAsia" w:ascii="宋体" w:hAnsi="宋体" w:cs="宋体"/>
          <w:szCs w:val="21"/>
        </w:rPr>
        <w:t>具有独立承担民事责任的能力；</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具有良好的商业信誉和健全的财务会计制度；</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具有履行合同所必需的设备和专业技术能力；</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有依法缴纳税收和社会保障资金的良好记录；</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参加本次比选活动前三年内，在经营活动中没有重大违法记录。</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具体要求详见比选文件第二章竞选人须知前附表1.4.1竞选人资质条件、能力、信誉的要求。</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3.2  本次比选不接受联合体竞选，不接受代理商竞选。</w:t>
      </w:r>
    </w:p>
    <w:p>
      <w:pPr>
        <w:pStyle w:val="3"/>
        <w:adjustRightInd w:val="0"/>
        <w:snapToGrid w:val="0"/>
        <w:spacing w:before="0" w:after="0" w:line="360" w:lineRule="auto"/>
        <w:rPr>
          <w:rFonts w:ascii="宋体" w:hAnsi="宋体" w:cs="宋体"/>
          <w:snapToGrid w:val="0"/>
          <w:sz w:val="28"/>
          <w:szCs w:val="28"/>
        </w:rPr>
      </w:pPr>
      <w:bookmarkStart w:id="44" w:name="_Toc3084"/>
      <w:bookmarkStart w:id="45" w:name="_Toc287620670"/>
      <w:bookmarkStart w:id="46" w:name="_Toc224103302"/>
      <w:bookmarkStart w:id="47" w:name="_Toc2023"/>
      <w:bookmarkStart w:id="48" w:name="_Toc200359430"/>
      <w:bookmarkStart w:id="49" w:name="_Toc200359241"/>
      <w:bookmarkStart w:id="50" w:name="_Toc5223"/>
      <w:bookmarkStart w:id="51" w:name="_Toc287607731"/>
      <w:bookmarkStart w:id="52" w:name="_Toc430530419"/>
      <w:bookmarkStart w:id="53" w:name="_Toc11625"/>
      <w:bookmarkStart w:id="54" w:name="_Toc509218695"/>
      <w:bookmarkStart w:id="55" w:name="_Toc277082539"/>
      <w:bookmarkStart w:id="56" w:name="_Toc4137"/>
      <w:bookmarkStart w:id="57" w:name="_Toc17562"/>
      <w:r>
        <w:rPr>
          <w:rFonts w:ascii="宋体" w:hAnsi="宋体" w:cs="宋体"/>
          <w:snapToGrid w:val="0"/>
          <w:sz w:val="28"/>
          <w:szCs w:val="28"/>
        </w:rPr>
        <w:t xml:space="preserve">4.  </w:t>
      </w:r>
      <w:r>
        <w:rPr>
          <w:rFonts w:hint="eastAsia" w:ascii="宋体" w:hAnsi="宋体" w:cs="宋体"/>
          <w:snapToGrid w:val="0"/>
          <w:sz w:val="28"/>
          <w:szCs w:val="28"/>
        </w:rPr>
        <w:t>比选文件的获取</w:t>
      </w:r>
      <w:bookmarkEnd w:id="44"/>
      <w:bookmarkEnd w:id="45"/>
      <w:bookmarkEnd w:id="46"/>
      <w:bookmarkEnd w:id="47"/>
      <w:bookmarkEnd w:id="48"/>
      <w:bookmarkEnd w:id="49"/>
      <w:bookmarkEnd w:id="50"/>
      <w:bookmarkEnd w:id="51"/>
      <w:bookmarkEnd w:id="52"/>
      <w:bookmarkEnd w:id="53"/>
      <w:bookmarkEnd w:id="54"/>
      <w:bookmarkEnd w:id="55"/>
      <w:bookmarkEnd w:id="56"/>
      <w:bookmarkEnd w:id="57"/>
    </w:p>
    <w:p>
      <w:pPr>
        <w:tabs>
          <w:tab w:val="left" w:pos="2420"/>
          <w:tab w:val="left" w:pos="5445"/>
        </w:tabs>
        <w:autoSpaceDE w:val="0"/>
        <w:autoSpaceDN w:val="0"/>
        <w:adjustRightInd w:val="0"/>
        <w:spacing w:line="360" w:lineRule="auto"/>
        <w:ind w:firstLine="420" w:firstLineChars="200"/>
        <w:rPr>
          <w:rFonts w:ascii="宋体" w:hAnsi="宋体" w:cs="宋体"/>
        </w:rPr>
      </w:pPr>
      <w:r>
        <w:rPr>
          <w:rFonts w:hint="eastAsia" w:ascii="宋体" w:hAnsi="宋体" w:cs="宋体"/>
          <w:snapToGrid w:val="0"/>
          <w:kern w:val="0"/>
          <w:szCs w:val="21"/>
        </w:rPr>
        <w:t>比选报名及领取文件截止时间：</w:t>
      </w:r>
      <w:r>
        <w:rPr>
          <w:rFonts w:hint="eastAsia" w:ascii="宋体" w:hAnsi="宋体" w:cs="宋体"/>
          <w:snapToGrid w:val="0"/>
          <w:kern w:val="0"/>
          <w:szCs w:val="21"/>
          <w:lang w:val="en-US" w:eastAsia="zh-CN"/>
        </w:rPr>
        <w:t>2024</w:t>
      </w:r>
      <w:r>
        <w:rPr>
          <w:rFonts w:hint="eastAsia" w:ascii="宋体" w:hAnsi="宋体" w:cs="宋体"/>
          <w:snapToGrid w:val="0"/>
          <w:kern w:val="0"/>
          <w:szCs w:val="21"/>
        </w:rPr>
        <w:t>年</w:t>
      </w:r>
      <w:r>
        <w:rPr>
          <w:rFonts w:hint="eastAsia" w:ascii="宋体" w:hAnsi="宋体" w:cs="宋体"/>
          <w:snapToGrid w:val="0"/>
          <w:kern w:val="0"/>
          <w:szCs w:val="21"/>
          <w:lang w:val="en-US" w:eastAsia="zh-CN"/>
        </w:rPr>
        <w:t>3</w:t>
      </w:r>
      <w:r>
        <w:rPr>
          <w:rFonts w:hint="eastAsia" w:ascii="宋体" w:hAnsi="宋体" w:cs="宋体"/>
          <w:snapToGrid w:val="0"/>
          <w:kern w:val="0"/>
          <w:szCs w:val="21"/>
        </w:rPr>
        <w:t>月</w:t>
      </w:r>
      <w:r>
        <w:rPr>
          <w:rFonts w:hint="eastAsia" w:ascii="宋体" w:hAnsi="宋体" w:cs="宋体"/>
          <w:snapToGrid w:val="0"/>
          <w:kern w:val="0"/>
          <w:szCs w:val="21"/>
          <w:lang w:val="en-US" w:eastAsia="zh-CN"/>
        </w:rPr>
        <w:t>18</w:t>
      </w:r>
      <w:r>
        <w:rPr>
          <w:rFonts w:hint="eastAsia" w:ascii="宋体" w:hAnsi="宋体" w:cs="宋体"/>
          <w:snapToGrid w:val="0"/>
          <w:kern w:val="0"/>
          <w:szCs w:val="21"/>
        </w:rPr>
        <w:t>日至</w:t>
      </w:r>
      <w:r>
        <w:rPr>
          <w:rFonts w:hint="eastAsia" w:ascii="宋体" w:hAnsi="宋体" w:cs="宋体"/>
          <w:snapToGrid w:val="0"/>
          <w:kern w:val="0"/>
          <w:szCs w:val="21"/>
          <w:lang w:val="en-US" w:eastAsia="zh-CN"/>
        </w:rPr>
        <w:t>2024</w:t>
      </w:r>
      <w:r>
        <w:rPr>
          <w:rFonts w:hint="eastAsia" w:ascii="宋体" w:hAnsi="宋体" w:cs="宋体"/>
          <w:snapToGrid w:val="0"/>
          <w:kern w:val="0"/>
          <w:szCs w:val="21"/>
        </w:rPr>
        <w:t>年</w:t>
      </w:r>
      <w:r>
        <w:rPr>
          <w:rFonts w:hint="eastAsia" w:ascii="宋体" w:hAnsi="宋体" w:cs="宋体"/>
          <w:snapToGrid w:val="0"/>
          <w:kern w:val="0"/>
          <w:szCs w:val="21"/>
          <w:lang w:val="en-US" w:eastAsia="zh-CN"/>
        </w:rPr>
        <w:t>3</w:t>
      </w:r>
      <w:r>
        <w:rPr>
          <w:rFonts w:hint="eastAsia" w:ascii="宋体" w:hAnsi="宋体" w:cs="宋体"/>
          <w:snapToGrid w:val="0"/>
          <w:kern w:val="0"/>
          <w:szCs w:val="21"/>
        </w:rPr>
        <w:t>月</w:t>
      </w:r>
      <w:r>
        <w:rPr>
          <w:rFonts w:hint="eastAsia" w:ascii="宋体" w:hAnsi="宋体" w:cs="宋体"/>
          <w:snapToGrid w:val="0"/>
          <w:kern w:val="0"/>
          <w:szCs w:val="21"/>
          <w:lang w:val="en-US" w:eastAsia="zh-CN"/>
        </w:rPr>
        <w:t>21</w:t>
      </w:r>
      <w:r>
        <w:rPr>
          <w:rFonts w:hint="eastAsia" w:ascii="宋体" w:hAnsi="宋体" w:cs="宋体"/>
          <w:snapToGrid w:val="0"/>
          <w:kern w:val="0"/>
          <w:szCs w:val="21"/>
        </w:rPr>
        <w:t>日 17：00</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rPr>
        <w:t>时前，凡有意参加比选者将营业执照复印件（盖竞选人单位公章、法人授权委托书（盖应竞人单位公章）发送至邮箱：cqiic_zb0304@163.com领取比选文件。超时将不再受理。</w:t>
      </w:r>
    </w:p>
    <w:p>
      <w:pPr>
        <w:pStyle w:val="3"/>
        <w:adjustRightInd w:val="0"/>
        <w:spacing w:before="0" w:after="0" w:line="360" w:lineRule="auto"/>
        <w:rPr>
          <w:rFonts w:ascii="宋体" w:hAnsi="宋体" w:cs="宋体"/>
          <w:snapToGrid w:val="0"/>
          <w:sz w:val="28"/>
          <w:szCs w:val="28"/>
        </w:rPr>
      </w:pPr>
      <w:bookmarkStart w:id="58" w:name="_Toc430530420"/>
      <w:bookmarkStart w:id="59" w:name="_Toc15702"/>
      <w:bookmarkStart w:id="60" w:name="_Toc224103303"/>
      <w:bookmarkStart w:id="61" w:name="_Toc12960"/>
      <w:bookmarkStart w:id="62" w:name="_Toc200359242"/>
      <w:bookmarkStart w:id="63" w:name="_Toc287607732"/>
      <w:bookmarkStart w:id="64" w:name="_Toc29620"/>
      <w:bookmarkStart w:id="65" w:name="_Toc8657"/>
      <w:bookmarkStart w:id="66" w:name="_Toc287620671"/>
      <w:bookmarkStart w:id="67" w:name="_Toc200359431"/>
      <w:bookmarkStart w:id="68" w:name="_Toc509218696"/>
      <w:bookmarkStart w:id="69" w:name="_Toc277082540"/>
      <w:bookmarkStart w:id="70" w:name="_Toc20227"/>
      <w:bookmarkStart w:id="71" w:name="_Toc11691"/>
      <w:r>
        <w:rPr>
          <w:rFonts w:ascii="宋体" w:hAnsi="宋体" w:cs="宋体"/>
          <w:snapToGrid w:val="0"/>
          <w:sz w:val="28"/>
          <w:szCs w:val="28"/>
        </w:rPr>
        <w:t xml:space="preserve">5.  </w:t>
      </w:r>
      <w:r>
        <w:rPr>
          <w:rFonts w:hint="eastAsia" w:ascii="宋体" w:hAnsi="宋体" w:cs="宋体"/>
          <w:snapToGrid w:val="0"/>
          <w:sz w:val="28"/>
          <w:szCs w:val="28"/>
        </w:rPr>
        <w:t>竞选文件的递交</w:t>
      </w:r>
      <w:bookmarkEnd w:id="58"/>
      <w:bookmarkEnd w:id="59"/>
      <w:bookmarkEnd w:id="60"/>
      <w:bookmarkEnd w:id="61"/>
      <w:bookmarkEnd w:id="62"/>
      <w:bookmarkEnd w:id="63"/>
      <w:bookmarkEnd w:id="64"/>
      <w:bookmarkEnd w:id="65"/>
      <w:bookmarkEnd w:id="66"/>
      <w:bookmarkEnd w:id="67"/>
      <w:bookmarkEnd w:id="68"/>
      <w:bookmarkEnd w:id="69"/>
      <w:bookmarkEnd w:id="70"/>
      <w:bookmarkEnd w:id="71"/>
    </w:p>
    <w:p>
      <w:pPr>
        <w:tabs>
          <w:tab w:val="left" w:pos="2420"/>
          <w:tab w:val="left" w:pos="5445"/>
        </w:tabs>
        <w:autoSpaceDE w:val="0"/>
        <w:autoSpaceDN w:val="0"/>
        <w:adjustRightInd w:val="0"/>
        <w:spacing w:line="360" w:lineRule="auto"/>
        <w:ind w:firstLine="420" w:firstLineChars="200"/>
        <w:rPr>
          <w:rFonts w:ascii="宋体" w:hAnsi="宋体" w:cs="宋体"/>
          <w:snapToGrid w:val="0"/>
          <w:kern w:val="0"/>
          <w:szCs w:val="21"/>
        </w:rPr>
      </w:pPr>
      <w:bookmarkStart w:id="72" w:name="_Toc645"/>
      <w:bookmarkStart w:id="73" w:name="_Toc277082541"/>
      <w:bookmarkStart w:id="74" w:name="_Toc287607733"/>
      <w:bookmarkStart w:id="75" w:name="_Toc430530421"/>
      <w:bookmarkStart w:id="76" w:name="_Toc4173"/>
      <w:bookmarkStart w:id="77" w:name="_Toc509218697"/>
      <w:bookmarkStart w:id="78" w:name="_Toc200359432"/>
      <w:bookmarkStart w:id="79" w:name="_Toc287620672"/>
      <w:bookmarkStart w:id="80" w:name="_Toc224103304"/>
      <w:bookmarkStart w:id="81" w:name="_Toc200359243"/>
      <w:r>
        <w:rPr>
          <w:rFonts w:ascii="宋体" w:hAnsi="宋体" w:cs="宋体"/>
          <w:snapToGrid w:val="0"/>
          <w:kern w:val="0"/>
          <w:szCs w:val="21"/>
        </w:rPr>
        <w:t>5.1  竞选文件递交的截止时间：请竞选人将竞选文件于</w:t>
      </w:r>
      <w:r>
        <w:rPr>
          <w:rFonts w:hint="eastAsia" w:ascii="宋体" w:hAnsi="宋体" w:cs="宋体"/>
          <w:snapToGrid w:val="0"/>
          <w:kern w:val="0"/>
          <w:szCs w:val="21"/>
          <w:lang w:val="en-US" w:eastAsia="zh-CN"/>
        </w:rPr>
        <w:t>2024</w:t>
      </w:r>
      <w:r>
        <w:rPr>
          <w:rFonts w:ascii="宋体" w:hAnsi="宋体" w:cs="宋体"/>
          <w:snapToGrid w:val="0"/>
          <w:kern w:val="0"/>
          <w:szCs w:val="21"/>
        </w:rPr>
        <w:t>年</w:t>
      </w:r>
      <w:r>
        <w:rPr>
          <w:rFonts w:hint="eastAsia" w:ascii="宋体" w:hAnsi="宋体" w:cs="宋体"/>
          <w:snapToGrid w:val="0"/>
          <w:kern w:val="0"/>
          <w:szCs w:val="21"/>
          <w:lang w:val="en-US" w:eastAsia="zh-CN"/>
        </w:rPr>
        <w:t>3</w:t>
      </w:r>
      <w:r>
        <w:rPr>
          <w:rFonts w:ascii="宋体" w:hAnsi="宋体" w:cs="宋体"/>
          <w:snapToGrid w:val="0"/>
          <w:kern w:val="0"/>
          <w:szCs w:val="21"/>
        </w:rPr>
        <w:t>月</w:t>
      </w:r>
      <w:r>
        <w:rPr>
          <w:rFonts w:hint="eastAsia" w:ascii="宋体" w:hAnsi="宋体" w:cs="宋体"/>
          <w:snapToGrid w:val="0"/>
          <w:kern w:val="0"/>
          <w:szCs w:val="21"/>
          <w:lang w:val="en-US" w:eastAsia="zh-CN"/>
        </w:rPr>
        <w:t>22</w:t>
      </w:r>
      <w:r>
        <w:rPr>
          <w:rFonts w:ascii="宋体" w:hAnsi="宋体" w:cs="宋体"/>
          <w:snapToGrid w:val="0"/>
          <w:kern w:val="0"/>
          <w:szCs w:val="21"/>
        </w:rPr>
        <w:t>日</w:t>
      </w:r>
      <w:r>
        <w:rPr>
          <w:rFonts w:hint="eastAsia" w:ascii="宋体" w:hAnsi="宋体" w:cs="宋体"/>
          <w:snapToGrid w:val="0"/>
          <w:kern w:val="0"/>
          <w:szCs w:val="21"/>
          <w:lang w:val="en-US" w:eastAsia="zh-CN"/>
        </w:rPr>
        <w:t>10</w:t>
      </w:r>
      <w:r>
        <w:rPr>
          <w:rFonts w:ascii="宋体" w:hAnsi="宋体" w:cs="宋体"/>
          <w:snapToGrid w:val="0"/>
          <w:kern w:val="0"/>
          <w:szCs w:val="21"/>
        </w:rPr>
        <w:t>时</w:t>
      </w:r>
      <w:r>
        <w:rPr>
          <w:rFonts w:hint="eastAsia" w:ascii="宋体" w:hAnsi="宋体" w:cs="宋体"/>
          <w:snapToGrid w:val="0"/>
          <w:kern w:val="0"/>
          <w:szCs w:val="21"/>
          <w:lang w:val="en-US" w:eastAsia="zh-CN"/>
        </w:rPr>
        <w:t>00</w:t>
      </w:r>
      <w:r>
        <w:rPr>
          <w:rFonts w:ascii="宋体" w:hAnsi="宋体" w:cs="宋体"/>
          <w:snapToGrid w:val="0"/>
          <w:kern w:val="0"/>
          <w:szCs w:val="21"/>
        </w:rPr>
        <w:t>分前，地址为：重庆市江北区五简路2号重庆咨询大厦（具体开标室以重庆咨询大厦当日大屏幕显示为准）。</w:t>
      </w:r>
      <w:bookmarkEnd w:id="72"/>
    </w:p>
    <w:p>
      <w:pPr>
        <w:tabs>
          <w:tab w:val="left" w:pos="2420"/>
          <w:tab w:val="left" w:pos="5445"/>
        </w:tabs>
        <w:autoSpaceDE w:val="0"/>
        <w:autoSpaceDN w:val="0"/>
        <w:spacing w:line="400" w:lineRule="exact"/>
        <w:ind w:firstLine="420" w:firstLineChars="200"/>
        <w:rPr>
          <w:rFonts w:ascii="宋体" w:hAnsi="宋体" w:cs="宋体"/>
          <w:snapToGrid w:val="0"/>
          <w:kern w:val="0"/>
          <w:szCs w:val="21"/>
        </w:rPr>
      </w:pPr>
      <w:bookmarkStart w:id="82" w:name="_Toc563"/>
      <w:r>
        <w:rPr>
          <w:rFonts w:ascii="宋体" w:hAnsi="宋体" w:cs="宋体"/>
          <w:snapToGrid w:val="0"/>
          <w:kern w:val="0"/>
          <w:szCs w:val="21"/>
        </w:rPr>
        <w:t>5.2  逾期送达的或者未送达指定地点的竞选文件，比选人不予受理。（本项目竞选文件可以邮寄，邮寄地址为重庆市江北区五简路2号重庆咨询大厦A座</w:t>
      </w:r>
      <w:r>
        <w:rPr>
          <w:rFonts w:hint="eastAsia" w:ascii="宋体" w:hAnsi="宋体" w:cs="宋体"/>
          <w:snapToGrid w:val="0"/>
          <w:kern w:val="0"/>
          <w:szCs w:val="21"/>
          <w:lang w:val="en-US" w:eastAsia="zh-CN"/>
        </w:rPr>
        <w:t>1803</w:t>
      </w:r>
      <w:r>
        <w:rPr>
          <w:rFonts w:ascii="宋体" w:hAnsi="宋体" w:cs="宋体"/>
          <w:snapToGrid w:val="0"/>
          <w:kern w:val="0"/>
          <w:szCs w:val="21"/>
        </w:rPr>
        <w:t>室，收件人：杨先生，电话：023-677</w:t>
      </w:r>
      <w:r>
        <w:rPr>
          <w:rFonts w:hint="eastAsia" w:ascii="宋体" w:hAnsi="宋体" w:cs="宋体"/>
          <w:snapToGrid w:val="0"/>
          <w:kern w:val="0"/>
          <w:szCs w:val="21"/>
          <w:lang w:val="en-US" w:eastAsia="zh-CN"/>
        </w:rPr>
        <w:t>06832</w:t>
      </w:r>
      <w:r>
        <w:rPr>
          <w:rFonts w:ascii="宋体" w:hAnsi="宋体" w:cs="宋体"/>
          <w:snapToGrid w:val="0"/>
          <w:kern w:val="0"/>
          <w:szCs w:val="21"/>
        </w:rPr>
        <w:t>。请注意，送达时间以签收时间为准）</w:t>
      </w:r>
    </w:p>
    <w:p>
      <w:pPr>
        <w:pStyle w:val="3"/>
        <w:spacing w:before="0" w:after="0" w:line="400" w:lineRule="exact"/>
        <w:ind w:firstLine="562" w:firstLineChars="200"/>
        <w:rPr>
          <w:rFonts w:ascii="宋体" w:hAnsi="宋体" w:cs="宋体"/>
          <w:snapToGrid w:val="0"/>
          <w:sz w:val="28"/>
          <w:szCs w:val="28"/>
        </w:rPr>
      </w:pPr>
      <w:bookmarkStart w:id="83" w:name="_Toc15901"/>
      <w:bookmarkStart w:id="84" w:name="_Toc10528"/>
      <w:bookmarkStart w:id="85" w:name="_Toc18705"/>
      <w:r>
        <w:rPr>
          <w:rFonts w:ascii="宋体" w:hAnsi="宋体" w:cs="宋体"/>
          <w:snapToGrid w:val="0"/>
          <w:sz w:val="28"/>
          <w:szCs w:val="28"/>
        </w:rPr>
        <w:t>6.  发布公告的媒介</w:t>
      </w:r>
      <w:bookmarkEnd w:id="73"/>
      <w:bookmarkEnd w:id="74"/>
      <w:bookmarkEnd w:id="75"/>
      <w:bookmarkEnd w:id="76"/>
      <w:bookmarkEnd w:id="77"/>
      <w:bookmarkEnd w:id="78"/>
      <w:bookmarkEnd w:id="79"/>
      <w:bookmarkEnd w:id="80"/>
      <w:bookmarkEnd w:id="81"/>
      <w:bookmarkEnd w:id="82"/>
      <w:bookmarkEnd w:id="83"/>
      <w:bookmarkEnd w:id="84"/>
      <w:bookmarkEnd w:id="85"/>
    </w:p>
    <w:p>
      <w:pPr>
        <w:tabs>
          <w:tab w:val="left" w:pos="3840"/>
          <w:tab w:val="left" w:pos="5300"/>
        </w:tabs>
        <w:autoSpaceDE w:val="0"/>
        <w:autoSpaceDN w:val="0"/>
        <w:adjustRightIn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本次比选</w:t>
      </w:r>
      <w:r>
        <w:rPr>
          <w:rFonts w:ascii="宋体" w:hAnsi="宋体" w:cs="宋体"/>
          <w:snapToGrid w:val="0"/>
          <w:kern w:val="0"/>
          <w:szCs w:val="21"/>
        </w:rPr>
        <w:t>公告在</w:t>
      </w:r>
      <w:r>
        <w:rPr>
          <w:rFonts w:ascii="宋体" w:hAnsi="宋体" w:cs="宋体"/>
          <w:snapToGrid w:val="0"/>
          <w:kern w:val="0"/>
          <w:szCs w:val="21"/>
          <w:u w:val="single"/>
        </w:rPr>
        <w:t>“</w:t>
      </w:r>
      <w:r>
        <w:rPr>
          <w:rFonts w:hint="eastAsia" w:ascii="宋体" w:hAnsi="宋体" w:cs="宋体"/>
          <w:snapToGrid w:val="0"/>
          <w:kern w:val="0"/>
          <w:szCs w:val="21"/>
          <w:u w:val="single"/>
          <w:lang w:eastAsia="zh-CN"/>
        </w:rPr>
        <w:t>重庆国际投资咨询集团有限公司</w:t>
      </w:r>
      <w:r>
        <w:rPr>
          <w:rFonts w:ascii="宋体" w:hAnsi="宋体" w:cs="宋体"/>
          <w:snapToGrid w:val="0"/>
          <w:kern w:val="0"/>
          <w:szCs w:val="21"/>
          <w:u w:val="single"/>
        </w:rPr>
        <w:t>（www.cq</w:t>
      </w:r>
      <w:r>
        <w:rPr>
          <w:rFonts w:hint="eastAsia" w:ascii="宋体" w:hAnsi="宋体" w:cs="宋体"/>
          <w:snapToGrid w:val="0"/>
          <w:kern w:val="0"/>
          <w:szCs w:val="21"/>
          <w:u w:val="single"/>
          <w:lang w:val="en-US" w:eastAsia="zh-CN"/>
        </w:rPr>
        <w:t>iic</w:t>
      </w:r>
      <w:r>
        <w:rPr>
          <w:rFonts w:ascii="宋体" w:hAnsi="宋体" w:cs="宋体"/>
          <w:snapToGrid w:val="0"/>
          <w:kern w:val="0"/>
          <w:szCs w:val="21"/>
          <w:u w:val="single"/>
        </w:rPr>
        <w:t>.com）”</w:t>
      </w:r>
      <w:r>
        <w:rPr>
          <w:rFonts w:hint="eastAsia" w:ascii="宋体" w:hAnsi="宋体" w:cs="宋体"/>
          <w:snapToGrid w:val="0"/>
          <w:kern w:val="0"/>
          <w:szCs w:val="21"/>
        </w:rPr>
        <w:t>上发布。</w:t>
      </w:r>
    </w:p>
    <w:p>
      <w:pPr>
        <w:pStyle w:val="3"/>
        <w:adjustRightInd w:val="0"/>
        <w:spacing w:before="0" w:after="0" w:line="360" w:lineRule="auto"/>
        <w:rPr>
          <w:rFonts w:ascii="宋体" w:hAnsi="宋体" w:cs="宋体"/>
          <w:snapToGrid w:val="0"/>
          <w:sz w:val="28"/>
          <w:szCs w:val="28"/>
        </w:rPr>
      </w:pPr>
      <w:bookmarkStart w:id="86" w:name="_Toc22119"/>
      <w:bookmarkStart w:id="87" w:name="_Toc3040"/>
      <w:bookmarkStart w:id="88" w:name="_Toc287620673"/>
      <w:bookmarkStart w:id="89" w:name="_Toc1620"/>
      <w:bookmarkStart w:id="90" w:name="_Toc6651"/>
      <w:bookmarkStart w:id="91" w:name="_Toc224103305"/>
      <w:bookmarkStart w:id="92" w:name="_Toc287607734"/>
      <w:bookmarkStart w:id="93" w:name="_Toc430530422"/>
      <w:bookmarkStart w:id="94" w:name="_Toc31127"/>
      <w:bookmarkStart w:id="95" w:name="_Toc509218698"/>
      <w:bookmarkStart w:id="96" w:name="_Toc31129"/>
      <w:bookmarkStart w:id="97" w:name="_Toc277082542"/>
      <w:r>
        <w:rPr>
          <w:rFonts w:ascii="宋体" w:hAnsi="宋体" w:cs="宋体"/>
          <w:snapToGrid w:val="0"/>
          <w:sz w:val="28"/>
          <w:szCs w:val="28"/>
        </w:rPr>
        <w:t xml:space="preserve">7.  </w:t>
      </w:r>
      <w:r>
        <w:rPr>
          <w:rFonts w:hint="eastAsia" w:ascii="宋体" w:hAnsi="宋体" w:cs="宋体"/>
          <w:snapToGrid w:val="0"/>
          <w:sz w:val="28"/>
          <w:szCs w:val="28"/>
        </w:rPr>
        <w:t>联系方式</w:t>
      </w:r>
      <w:bookmarkEnd w:id="86"/>
      <w:bookmarkEnd w:id="87"/>
      <w:bookmarkEnd w:id="88"/>
      <w:bookmarkEnd w:id="89"/>
      <w:bookmarkEnd w:id="90"/>
      <w:bookmarkEnd w:id="91"/>
      <w:bookmarkEnd w:id="92"/>
      <w:bookmarkEnd w:id="93"/>
      <w:bookmarkEnd w:id="94"/>
      <w:bookmarkEnd w:id="95"/>
      <w:bookmarkEnd w:id="96"/>
      <w:bookmarkEnd w:id="97"/>
    </w:p>
    <w:p>
      <w:pPr>
        <w:tabs>
          <w:tab w:val="left" w:pos="5140"/>
          <w:tab w:val="left" w:pos="852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比选人：重庆市储备粮管理有限公司</w:t>
      </w:r>
    </w:p>
    <w:p>
      <w:pPr>
        <w:tabs>
          <w:tab w:val="left" w:pos="5140"/>
          <w:tab w:val="left" w:pos="852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地址：重庆市渝北区黄山大道68号山顶总部基地23幢</w:t>
      </w:r>
    </w:p>
    <w:p>
      <w:pPr>
        <w:tabs>
          <w:tab w:val="left" w:pos="5140"/>
          <w:tab w:val="left" w:pos="852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联系人：赵老师</w:t>
      </w:r>
    </w:p>
    <w:p>
      <w:pPr>
        <w:tabs>
          <w:tab w:val="left" w:pos="5140"/>
          <w:tab w:val="left" w:pos="852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电话：023-60367760</w:t>
      </w:r>
    </w:p>
    <w:p>
      <w:pPr>
        <w:tabs>
          <w:tab w:val="left" w:pos="5140"/>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kern w:val="0"/>
          <w:szCs w:val="21"/>
          <w:lang w:eastAsia="zh-CN"/>
        </w:rPr>
      </w:pPr>
      <w:r>
        <w:rPr>
          <w:rFonts w:hint="eastAsia" w:ascii="宋体" w:hAnsi="宋体" w:cs="宋体"/>
          <w:snapToGrid w:val="0"/>
          <w:kern w:val="0"/>
          <w:szCs w:val="21"/>
        </w:rPr>
        <w:t>比选代理机构：</w:t>
      </w:r>
      <w:r>
        <w:rPr>
          <w:rFonts w:hint="eastAsia" w:ascii="宋体" w:hAnsi="宋体" w:cs="宋体"/>
          <w:snapToGrid w:val="0"/>
          <w:kern w:val="0"/>
          <w:szCs w:val="21"/>
          <w:lang w:eastAsia="zh-CN"/>
        </w:rPr>
        <w:t>重庆国际投资咨询集团有限公司</w:t>
      </w:r>
    </w:p>
    <w:p>
      <w:pPr>
        <w:tabs>
          <w:tab w:val="left" w:pos="5140"/>
          <w:tab w:val="left" w:pos="852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地</w:t>
      </w:r>
      <w:r>
        <w:rPr>
          <w:rFonts w:ascii="宋体" w:hAnsi="宋体" w:cs="宋体"/>
          <w:snapToGrid w:val="0"/>
          <w:kern w:val="0"/>
          <w:szCs w:val="21"/>
        </w:rPr>
        <w:t xml:space="preserve">  </w:t>
      </w:r>
      <w:r>
        <w:rPr>
          <w:rFonts w:hint="eastAsia" w:ascii="宋体" w:hAnsi="宋体" w:cs="宋体"/>
          <w:snapToGrid w:val="0"/>
          <w:kern w:val="0"/>
          <w:szCs w:val="21"/>
        </w:rPr>
        <w:t>址：重庆市江北区五简路</w:t>
      </w:r>
      <w:r>
        <w:rPr>
          <w:rFonts w:ascii="宋体" w:hAnsi="宋体" w:cs="宋体"/>
          <w:snapToGrid w:val="0"/>
          <w:kern w:val="0"/>
          <w:szCs w:val="21"/>
        </w:rPr>
        <w:t>2号重庆咨询大厦A座</w:t>
      </w:r>
      <w:r>
        <w:rPr>
          <w:rFonts w:hint="eastAsia" w:ascii="宋体" w:hAnsi="宋体" w:cs="宋体"/>
          <w:snapToGrid w:val="0"/>
          <w:kern w:val="0"/>
          <w:szCs w:val="21"/>
          <w:lang w:val="en-US" w:eastAsia="zh-CN"/>
        </w:rPr>
        <w:t>1803</w:t>
      </w:r>
      <w:r>
        <w:rPr>
          <w:rFonts w:ascii="宋体" w:hAnsi="宋体" w:cs="宋体"/>
          <w:snapToGrid w:val="0"/>
          <w:kern w:val="0"/>
          <w:szCs w:val="21"/>
        </w:rPr>
        <w:t>室</w:t>
      </w:r>
    </w:p>
    <w:p>
      <w:pPr>
        <w:tabs>
          <w:tab w:val="left" w:pos="5140"/>
          <w:tab w:val="left" w:pos="852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联系人：霍先生</w:t>
      </w:r>
      <w:r>
        <w:rPr>
          <w:rFonts w:ascii="宋体" w:hAnsi="宋体" w:cs="宋体"/>
          <w:snapToGrid w:val="0"/>
          <w:kern w:val="0"/>
          <w:szCs w:val="21"/>
        </w:rPr>
        <w:t xml:space="preserve">  </w:t>
      </w:r>
      <w:r>
        <w:rPr>
          <w:rFonts w:hint="eastAsia" w:ascii="宋体" w:hAnsi="宋体" w:cs="宋体"/>
          <w:snapToGrid w:val="0"/>
          <w:kern w:val="0"/>
          <w:szCs w:val="21"/>
        </w:rPr>
        <w:t>杨先生</w:t>
      </w:r>
      <w:r>
        <w:rPr>
          <w:rFonts w:ascii="宋体" w:hAnsi="宋体" w:cs="宋体"/>
          <w:snapToGrid w:val="0"/>
          <w:kern w:val="0"/>
          <w:szCs w:val="21"/>
        </w:rPr>
        <w:t xml:space="preserve">  </w:t>
      </w:r>
      <w:r>
        <w:rPr>
          <w:rFonts w:hint="eastAsia" w:ascii="宋体" w:hAnsi="宋体" w:cs="宋体"/>
          <w:snapToGrid w:val="0"/>
          <w:kern w:val="0"/>
          <w:szCs w:val="21"/>
        </w:rPr>
        <w:t>文先生</w:t>
      </w:r>
    </w:p>
    <w:p>
      <w:pPr>
        <w:tabs>
          <w:tab w:val="left" w:pos="5140"/>
          <w:tab w:val="left" w:pos="852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电</w:t>
      </w:r>
      <w:r>
        <w:rPr>
          <w:rFonts w:ascii="宋体" w:hAnsi="宋体" w:cs="宋体"/>
          <w:snapToGrid w:val="0"/>
          <w:kern w:val="0"/>
          <w:szCs w:val="21"/>
        </w:rPr>
        <w:t xml:space="preserve">  </w:t>
      </w:r>
      <w:r>
        <w:rPr>
          <w:rFonts w:hint="eastAsia" w:ascii="宋体" w:hAnsi="宋体" w:cs="宋体"/>
          <w:snapToGrid w:val="0"/>
          <w:kern w:val="0"/>
          <w:szCs w:val="21"/>
        </w:rPr>
        <w:t>话：</w:t>
      </w:r>
      <w:r>
        <w:rPr>
          <w:rFonts w:ascii="宋体" w:hAnsi="宋体" w:cs="宋体"/>
          <w:snapToGrid w:val="0"/>
          <w:kern w:val="0"/>
          <w:szCs w:val="21"/>
        </w:rPr>
        <w:t>023-677</w:t>
      </w:r>
      <w:r>
        <w:rPr>
          <w:rFonts w:hint="eastAsia" w:ascii="宋体" w:hAnsi="宋体" w:cs="宋体"/>
          <w:snapToGrid w:val="0"/>
          <w:kern w:val="0"/>
          <w:szCs w:val="21"/>
        </w:rPr>
        <w:t>0</w:t>
      </w:r>
      <w:r>
        <w:rPr>
          <w:rFonts w:hint="eastAsia" w:ascii="宋体" w:hAnsi="宋体" w:cs="宋体"/>
          <w:snapToGrid w:val="0"/>
          <w:kern w:val="0"/>
          <w:szCs w:val="21"/>
          <w:lang w:val="en-US" w:eastAsia="zh-CN"/>
        </w:rPr>
        <w:t>6832</w:t>
      </w:r>
      <w:r>
        <w:rPr>
          <w:rFonts w:ascii="宋体" w:hAnsi="宋体" w:cs="宋体"/>
          <w:snapToGrid w:val="0"/>
          <w:kern w:val="0"/>
          <w:szCs w:val="21"/>
        </w:rPr>
        <w:t xml:space="preserve">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41ADC"/>
    <w:rsid w:val="050653D3"/>
    <w:rsid w:val="12E85787"/>
    <w:rsid w:val="25CA2BDA"/>
    <w:rsid w:val="2A1D5828"/>
    <w:rsid w:val="36D41ADC"/>
    <w:rsid w:val="52392268"/>
    <w:rsid w:val="739C48B4"/>
    <w:rsid w:val="7EAC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2024-03-18T06:36:00Z</dcterms:created>
  <dc:creator>。</dc:creator>
  <cp:lastModifiedBy>。</cp:lastModifiedBy>
  <dcterms:modified xsi:type="dcterms:W3CDTF">2024-03-18T06:37:27Z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